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976"/>
        <w:gridCol w:w="1043"/>
        <w:gridCol w:w="452"/>
        <w:gridCol w:w="952"/>
        <w:gridCol w:w="97"/>
        <w:gridCol w:w="733"/>
        <w:gridCol w:w="587"/>
        <w:gridCol w:w="405"/>
        <w:gridCol w:w="901"/>
      </w:tblGrid>
      <w:tr w14:paraId="0EEE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6908A227">
            <w:pPr>
              <w:jc w:val="center"/>
              <w:rPr>
                <w:rFonts w:asciiTheme="minorAscii"/>
                <w:b w:val="0"/>
                <w:bCs w:val="0"/>
                <w:color w:val="auto"/>
                <w:sz w:val="20"/>
                <w:szCs w:val="20"/>
              </w:rPr>
            </w:pPr>
            <w:r>
              <w:rPr>
                <w:rFonts w:hint="eastAsia" w:asciiTheme="minorAscii"/>
                <w:b w:val="0"/>
                <w:bCs w:val="0"/>
                <w:color w:val="auto"/>
                <w:sz w:val="20"/>
                <w:szCs w:val="20"/>
              </w:rPr>
              <w:t>Nama Proyek</w:t>
            </w:r>
          </w:p>
        </w:tc>
        <w:tc>
          <w:tcPr>
            <w:tcW w:w="7421" w:type="dxa"/>
            <w:gridSpan w:val="10"/>
            <w:noWrap w:val="0"/>
            <w:vAlign w:val="center"/>
          </w:tcPr>
          <w:p w14:paraId="69F3AE91">
            <w:pPr>
              <w:widowControl/>
              <w:jc w:val="center"/>
              <w:rPr>
                <w:rFonts w:hint="default" w:eastAsia="宋体" w:asciiTheme="minorAscii"/>
                <w:b w:val="0"/>
                <w:bCs w:val="0"/>
                <w:color w:val="auto"/>
                <w:sz w:val="20"/>
                <w:szCs w:val="20"/>
                <w:lang w:val="en-US" w:eastAsia="zh-CN"/>
              </w:rPr>
            </w:pPr>
            <w:r>
              <w:rPr>
                <w:rFonts w:hint="default" w:hAnsi="Consolas" w:eastAsia="Consolas" w:cs="Consolas" w:asciiTheme="minorAscii"/>
                <w:b w:val="0"/>
                <w:bCs w:val="0"/>
                <w:caps w:val="0"/>
                <w:color w:val="auto"/>
                <w:spacing w:val="0"/>
                <w:kern w:val="0"/>
                <w:sz w:val="20"/>
                <w:szCs w:val="20"/>
                <w:lang w:val="en-US" w:eastAsia="zh-CN" w:bidi="ar"/>
              </w:rPr>
              <w:t>Transfer Sejumlah Aset Afkir dari Proyek Indonesia CNPC Bohai Drilling Engineering Co., Ltd.</w:t>
            </w:r>
          </w:p>
        </w:tc>
      </w:tr>
      <w:tr w14:paraId="66D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178C4FC3">
            <w:pPr>
              <w:jc w:val="center"/>
              <w:rPr>
                <w:rFonts w:asciiTheme="minorAscii"/>
                <w:b w:val="0"/>
                <w:bCs w:val="0"/>
                <w:color w:val="auto"/>
                <w:sz w:val="20"/>
                <w:szCs w:val="20"/>
              </w:rPr>
            </w:pPr>
            <w:r>
              <w:rPr>
                <w:rFonts w:hint="eastAsia" w:asciiTheme="minorAscii"/>
                <w:b w:val="0"/>
                <w:bCs w:val="0"/>
                <w:color w:val="auto"/>
                <w:sz w:val="20"/>
                <w:szCs w:val="20"/>
              </w:rPr>
              <w:t>Nomor Proyek</w:t>
            </w:r>
          </w:p>
        </w:tc>
        <w:tc>
          <w:tcPr>
            <w:tcW w:w="2251" w:type="dxa"/>
            <w:gridSpan w:val="2"/>
            <w:noWrap w:val="0"/>
            <w:vAlign w:val="center"/>
          </w:tcPr>
          <w:p w14:paraId="1BE56FAB">
            <w:pPr>
              <w:jc w:val="center"/>
              <w:rPr>
                <w:rFonts w:hint="default" w:eastAsia="宋体" w:asciiTheme="minorAscii"/>
                <w:b w:val="0"/>
                <w:bCs w:val="0"/>
                <w:color w:val="auto"/>
                <w:sz w:val="20"/>
                <w:szCs w:val="20"/>
                <w:lang w:val="en-US" w:eastAsia="zh-CN"/>
              </w:rPr>
            </w:pPr>
          </w:p>
        </w:tc>
        <w:tc>
          <w:tcPr>
            <w:tcW w:w="2544" w:type="dxa"/>
            <w:gridSpan w:val="4"/>
            <w:noWrap w:val="0"/>
            <w:vAlign w:val="center"/>
          </w:tcPr>
          <w:p w14:paraId="76FE16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asciiTheme="minorAscii"/>
                <w:b w:val="0"/>
                <w:bCs w:val="0"/>
                <w:color w:val="auto"/>
                <w:sz w:val="20"/>
                <w:szCs w:val="20"/>
              </w:rPr>
            </w:pPr>
            <w:r>
              <w:rPr>
                <w:rFonts w:hint="default" w:hAnsi="Consolas" w:eastAsia="Consolas" w:cs="Consolas" w:asciiTheme="minorAscii"/>
                <w:b w:val="0"/>
                <w:bCs w:val="0"/>
                <w:caps w:val="0"/>
                <w:color w:val="auto"/>
                <w:spacing w:val="0"/>
                <w:sz w:val="20"/>
                <w:szCs w:val="20"/>
              </w:rPr>
              <w:t>Jika tidak ada pihak yang berminat terdaftar</w:t>
            </w:r>
          </w:p>
        </w:tc>
        <w:tc>
          <w:tcPr>
            <w:tcW w:w="2626" w:type="dxa"/>
            <w:gridSpan w:val="4"/>
            <w:noWrap w:val="0"/>
            <w:vAlign w:val="center"/>
          </w:tcPr>
          <w:p w14:paraId="3627D5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asciiTheme="minorAscii"/>
                <w:b w:val="0"/>
                <w:bCs w:val="0"/>
                <w:color w:val="auto"/>
                <w:sz w:val="20"/>
                <w:szCs w:val="20"/>
              </w:rPr>
            </w:pPr>
            <w:r>
              <w:rPr>
                <w:rFonts w:hint="eastAsia" w:asciiTheme="minorAscii"/>
                <w:b w:val="0"/>
                <w:bCs w:val="0"/>
                <w:color w:val="auto"/>
                <w:sz w:val="20"/>
                <w:szCs w:val="20"/>
              </w:rPr>
              <w:t xml:space="preserve">Tidak mengubah kondisi pencatatan, perpanjangan satu siklus setiap </w:t>
            </w:r>
            <w:r>
              <w:rPr>
                <w:rFonts w:hint="eastAsia" w:asciiTheme="minorAscii"/>
                <w:b w:val="0"/>
                <w:bCs w:val="0"/>
                <w:color w:val="auto"/>
                <w:sz w:val="20"/>
                <w:szCs w:val="20"/>
                <w:lang w:val="en-US" w:eastAsia="zh-CN"/>
              </w:rPr>
              <w:t>5</w:t>
            </w:r>
            <w:bookmarkStart w:id="0" w:name="_GoBack"/>
            <w:bookmarkEnd w:id="0"/>
            <w:r>
              <w:rPr>
                <w:rFonts w:hint="eastAsia" w:asciiTheme="minorAscii"/>
                <w:b w:val="0"/>
                <w:bCs w:val="0"/>
                <w:color w:val="auto"/>
                <w:sz w:val="20"/>
                <w:szCs w:val="20"/>
              </w:rPr>
              <w:t xml:space="preserve"> hari kerja, maksimal perpanjangan satu tahun.</w:t>
            </w:r>
          </w:p>
        </w:tc>
      </w:tr>
      <w:tr w14:paraId="278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474D05FB">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Tanggal Mulai Penawaran</w:t>
            </w:r>
          </w:p>
        </w:tc>
        <w:tc>
          <w:tcPr>
            <w:tcW w:w="2251" w:type="dxa"/>
            <w:gridSpan w:val="2"/>
            <w:noWrap w:val="0"/>
            <w:vAlign w:val="center"/>
          </w:tcPr>
          <w:p w14:paraId="1AC466E6">
            <w:pPr>
              <w:widowControl/>
              <w:jc w:val="center"/>
              <w:rPr>
                <w:rFonts w:hAnsi="宋体" w:eastAsia="宋体" w:cs="宋体" w:asciiTheme="minorAscii"/>
                <w:b w:val="0"/>
                <w:bCs w:val="0"/>
                <w:color w:val="auto"/>
                <w:kern w:val="0"/>
                <w:sz w:val="20"/>
                <w:szCs w:val="20"/>
              </w:rPr>
            </w:pPr>
            <w:r>
              <w:rPr>
                <w:rFonts w:hint="eastAsia" w:hAnsi="宋体" w:cs="宋体" w:asciiTheme="minorAscii"/>
                <w:b w:val="0"/>
                <w:bCs w:val="0"/>
                <w:color w:val="auto"/>
                <w:kern w:val="0"/>
                <w:sz w:val="20"/>
                <w:szCs w:val="20"/>
                <w:lang w:val="en-US" w:eastAsia="zh-CN"/>
              </w:rPr>
              <w:t>**/**/</w:t>
            </w:r>
            <w:r>
              <w:rPr>
                <w:rFonts w:hint="eastAsia" w:hAnsi="宋体" w:eastAsia="宋体" w:cs="宋体" w:asciiTheme="minorAscii"/>
                <w:b w:val="0"/>
                <w:bCs w:val="0"/>
                <w:color w:val="auto"/>
                <w:kern w:val="0"/>
                <w:sz w:val="20"/>
                <w:szCs w:val="20"/>
              </w:rPr>
              <w:t>2026</w:t>
            </w:r>
          </w:p>
        </w:tc>
        <w:tc>
          <w:tcPr>
            <w:tcW w:w="2544" w:type="dxa"/>
            <w:gridSpan w:val="4"/>
            <w:noWrap w:val="0"/>
            <w:vAlign w:val="center"/>
          </w:tcPr>
          <w:p w14:paraId="1712B2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Tanggal Akhir Penawaran</w:t>
            </w:r>
          </w:p>
        </w:tc>
        <w:tc>
          <w:tcPr>
            <w:tcW w:w="2626" w:type="dxa"/>
            <w:gridSpan w:val="4"/>
            <w:noWrap w:val="0"/>
            <w:vAlign w:val="center"/>
          </w:tcPr>
          <w:p w14:paraId="7B4B6416">
            <w:pPr>
              <w:widowControl/>
              <w:jc w:val="center"/>
              <w:rPr>
                <w:rFonts w:hAnsi="宋体" w:eastAsia="宋体" w:cs="宋体" w:asciiTheme="minorAscii"/>
                <w:b w:val="0"/>
                <w:bCs w:val="0"/>
                <w:color w:val="auto"/>
                <w:kern w:val="0"/>
                <w:sz w:val="20"/>
                <w:szCs w:val="20"/>
              </w:rPr>
            </w:pPr>
            <w:r>
              <w:rPr>
                <w:rFonts w:hint="eastAsia" w:hAnsi="宋体" w:cs="宋体" w:asciiTheme="minorAscii"/>
                <w:b w:val="0"/>
                <w:bCs w:val="0"/>
                <w:color w:val="auto"/>
                <w:kern w:val="0"/>
                <w:sz w:val="20"/>
                <w:szCs w:val="20"/>
                <w:lang w:val="en-US" w:eastAsia="zh-CN"/>
              </w:rPr>
              <w:t>**/**/</w:t>
            </w:r>
            <w:r>
              <w:rPr>
                <w:rFonts w:hint="eastAsia" w:hAnsi="宋体" w:eastAsia="宋体" w:cs="宋体" w:asciiTheme="minorAscii"/>
                <w:b w:val="0"/>
                <w:bCs w:val="0"/>
                <w:color w:val="auto"/>
                <w:kern w:val="0"/>
                <w:sz w:val="20"/>
                <w:szCs w:val="20"/>
              </w:rPr>
              <w:t>2026</w:t>
            </w:r>
          </w:p>
        </w:tc>
      </w:tr>
      <w:tr w14:paraId="0FEC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1"/>
            <w:noWrap w:val="0"/>
            <w:vAlign w:val="center"/>
          </w:tcPr>
          <w:p w14:paraId="10DAC74F">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bCs/>
                <w:color w:val="auto"/>
                <w:kern w:val="0"/>
                <w:sz w:val="20"/>
                <w:szCs w:val="20"/>
              </w:rPr>
              <w:t>Gambaran Singkat Aset</w:t>
            </w:r>
          </w:p>
        </w:tc>
      </w:tr>
      <w:tr w14:paraId="7B34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3254F4C3">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Lokasi Aset</w:t>
            </w:r>
          </w:p>
        </w:tc>
        <w:tc>
          <w:tcPr>
            <w:tcW w:w="7421" w:type="dxa"/>
            <w:gridSpan w:val="10"/>
            <w:noWrap w:val="0"/>
            <w:vAlign w:val="center"/>
          </w:tcPr>
          <w:p w14:paraId="502D9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eastAsia" w:hAnsi="宋体" w:eastAsia="宋体" w:cs="宋体" w:asciiTheme="minorAscii"/>
                <w:b w:val="0"/>
                <w:bCs w:val="0"/>
                <w:color w:val="auto"/>
                <w:kern w:val="0"/>
                <w:sz w:val="20"/>
                <w:szCs w:val="20"/>
                <w:lang w:eastAsia="zh-CN"/>
              </w:rPr>
            </w:pPr>
            <w:r>
              <w:rPr>
                <w:rFonts w:hint="default" w:hAnsi="Consolas" w:eastAsia="Consolas" w:cs="Consolas" w:asciiTheme="minorAscii"/>
                <w:b w:val="0"/>
                <w:bCs w:val="0"/>
                <w:caps w:val="0"/>
                <w:color w:val="auto"/>
                <w:spacing w:val="0"/>
                <w:sz w:val="20"/>
                <w:szCs w:val="20"/>
              </w:rPr>
              <w:t>Indonesia</w:t>
            </w:r>
          </w:p>
        </w:tc>
      </w:tr>
      <w:tr w14:paraId="362E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101" w:type="dxa"/>
            <w:noWrap w:val="0"/>
            <w:vAlign w:val="center"/>
          </w:tcPr>
          <w:p w14:paraId="7442E7B5">
            <w:pPr>
              <w:jc w:val="center"/>
              <w:rPr>
                <w:rFonts w:hint="default" w:eastAsia="宋体" w:asciiTheme="minorAscii"/>
                <w:b w:val="0"/>
                <w:bCs w:val="0"/>
                <w:color w:val="auto"/>
                <w:sz w:val="20"/>
                <w:szCs w:val="20"/>
                <w:lang w:val="en-US" w:eastAsia="zh-CN"/>
              </w:rPr>
            </w:pPr>
            <w:r>
              <w:rPr>
                <w:rFonts w:hint="eastAsia" w:asciiTheme="minorAscii"/>
                <w:b w:val="0"/>
                <w:bCs w:val="0"/>
                <w:color w:val="auto"/>
                <w:sz w:val="20"/>
                <w:szCs w:val="20"/>
                <w:lang w:val="en-US" w:eastAsia="zh-CN"/>
              </w:rPr>
              <w:t>No.</w:t>
            </w:r>
          </w:p>
        </w:tc>
        <w:tc>
          <w:tcPr>
            <w:tcW w:w="2251" w:type="dxa"/>
            <w:gridSpan w:val="2"/>
            <w:noWrap w:val="0"/>
            <w:vAlign w:val="center"/>
          </w:tcPr>
          <w:p w14:paraId="130DEC69">
            <w:pPr>
              <w:widowControl/>
              <w:ind w:firstLine="100" w:firstLineChars="50"/>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Nama Aset</w:t>
            </w:r>
          </w:p>
        </w:tc>
        <w:tc>
          <w:tcPr>
            <w:tcW w:w="1043" w:type="dxa"/>
            <w:noWrap w:val="0"/>
            <w:vAlign w:val="center"/>
          </w:tcPr>
          <w:p w14:paraId="5A3EDE90">
            <w:pPr>
              <w:widowControl/>
              <w:jc w:val="center"/>
              <w:rPr>
                <w:rFonts w:hint="eastAsia" w:hAnsi="宋体" w:eastAsia="宋体" w:cs="宋体" w:asciiTheme="minorAscii"/>
                <w:b w:val="0"/>
                <w:bCs w:val="0"/>
                <w:color w:val="auto"/>
                <w:kern w:val="0"/>
                <w:sz w:val="20"/>
                <w:szCs w:val="20"/>
                <w:lang w:eastAsia="zh-CN"/>
              </w:rPr>
            </w:pPr>
            <w:r>
              <w:rPr>
                <w:rFonts w:hint="eastAsia" w:hAnsi="宋体" w:eastAsia="宋体" w:cs="宋体" w:asciiTheme="minorAscii"/>
                <w:b w:val="0"/>
                <w:bCs w:val="0"/>
                <w:color w:val="auto"/>
                <w:kern w:val="0"/>
                <w:sz w:val="20"/>
                <w:szCs w:val="20"/>
              </w:rPr>
              <w:t>Jumlah yang Dinilai (Unit)</w:t>
            </w:r>
          </w:p>
        </w:tc>
        <w:tc>
          <w:tcPr>
            <w:tcW w:w="1404" w:type="dxa"/>
            <w:gridSpan w:val="2"/>
            <w:noWrap w:val="0"/>
            <w:vAlign w:val="center"/>
          </w:tcPr>
          <w:p w14:paraId="0D929A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Nilai Penilaian</w:t>
            </w:r>
          </w:p>
          <w:p w14:paraId="154204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eastAsia" w:hAnsi="宋体" w:eastAsia="宋体" w:cs="宋体" w:asciiTheme="minorAscii"/>
                <w:b w:val="0"/>
                <w:bCs w:val="0"/>
                <w:color w:val="auto"/>
                <w:kern w:val="0"/>
                <w:sz w:val="20"/>
                <w:szCs w:val="20"/>
                <w:lang w:val="en-US" w:eastAsia="zh-CN"/>
              </w:rPr>
            </w:pPr>
            <w:r>
              <w:rPr>
                <w:rFonts w:hint="eastAsia" w:hAnsi="Consolas" w:cs="Consolas" w:asciiTheme="minorAscii"/>
                <w:b w:val="0"/>
                <w:bCs w:val="0"/>
                <w:caps w:val="0"/>
                <w:color w:val="auto"/>
                <w:spacing w:val="0"/>
                <w:sz w:val="20"/>
                <w:szCs w:val="20"/>
                <w:lang w:val="en-US" w:eastAsia="zh-CN"/>
              </w:rPr>
              <w:t xml:space="preserve">(CNY, </w:t>
            </w:r>
            <w:r>
              <w:rPr>
                <w:rFonts w:hint="default" w:hAnsi="Consolas" w:eastAsia="Consolas" w:cs="Consolas" w:asciiTheme="minorAscii"/>
                <w:b w:val="0"/>
                <w:bCs w:val="0"/>
                <w:caps w:val="0"/>
                <w:color w:val="auto"/>
                <w:spacing w:val="0"/>
                <w:sz w:val="20"/>
                <w:szCs w:val="20"/>
              </w:rPr>
              <w:t>Tidak Termasuk Pajak</w:t>
            </w:r>
            <w:r>
              <w:rPr>
                <w:rFonts w:hint="eastAsia" w:hAnsi="Consolas" w:cs="Consolas" w:asciiTheme="minorAscii"/>
                <w:b w:val="0"/>
                <w:bCs w:val="0"/>
                <w:caps w:val="0"/>
                <w:color w:val="auto"/>
                <w:spacing w:val="0"/>
                <w:sz w:val="20"/>
                <w:szCs w:val="20"/>
                <w:lang w:val="en-US" w:eastAsia="zh-CN"/>
              </w:rPr>
              <w:t>)</w:t>
            </w:r>
          </w:p>
        </w:tc>
        <w:tc>
          <w:tcPr>
            <w:tcW w:w="1417" w:type="dxa"/>
            <w:gridSpan w:val="3"/>
            <w:noWrap w:val="0"/>
            <w:vAlign w:val="center"/>
          </w:tcPr>
          <w:p w14:paraId="76CF16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eastAsia" w:hAnsi="宋体" w:cs="宋体" w:asciiTheme="minorAscii"/>
                <w:b w:val="0"/>
                <w:bCs w:val="0"/>
                <w:color w:val="auto"/>
                <w:kern w:val="0"/>
                <w:sz w:val="20"/>
                <w:szCs w:val="20"/>
                <w:lang w:val="en-US" w:eastAsia="zh-CN"/>
              </w:rPr>
            </w:pPr>
            <w:r>
              <w:rPr>
                <w:rFonts w:hint="default" w:hAnsi="Consolas" w:eastAsia="Consolas" w:cs="Consolas" w:asciiTheme="minorAscii"/>
                <w:b w:val="0"/>
                <w:bCs w:val="0"/>
                <w:caps w:val="0"/>
                <w:color w:val="auto"/>
                <w:spacing w:val="0"/>
                <w:sz w:val="20"/>
                <w:szCs w:val="20"/>
              </w:rPr>
              <w:t>Harga Penawaran</w:t>
            </w:r>
          </w:p>
          <w:p w14:paraId="2F7279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default" w:hAnsi="宋体" w:eastAsia="宋体" w:cs="宋体" w:asciiTheme="minorAscii"/>
                <w:b w:val="0"/>
                <w:bCs w:val="0"/>
                <w:color w:val="auto"/>
                <w:kern w:val="0"/>
                <w:sz w:val="20"/>
                <w:szCs w:val="20"/>
                <w:lang w:val="en-US"/>
              </w:rPr>
            </w:pPr>
            <w:r>
              <w:rPr>
                <w:rFonts w:hint="default" w:hAnsi="Consolas" w:eastAsia="Consolas" w:cs="Consolas" w:asciiTheme="minorAscii"/>
                <w:b w:val="0"/>
                <w:bCs w:val="0"/>
                <w:caps w:val="0"/>
                <w:color w:val="auto"/>
                <w:spacing w:val="0"/>
                <w:sz w:val="20"/>
                <w:szCs w:val="20"/>
              </w:rPr>
              <w:t>(</w:t>
            </w:r>
            <w:r>
              <w:rPr>
                <w:rFonts w:hint="eastAsia" w:hAnsi="Consolas" w:cs="Consolas" w:asciiTheme="minorAscii"/>
                <w:b w:val="0"/>
                <w:bCs w:val="0"/>
                <w:caps w:val="0"/>
                <w:color w:val="auto"/>
                <w:spacing w:val="0"/>
                <w:sz w:val="20"/>
                <w:szCs w:val="20"/>
                <w:lang w:val="en-US" w:eastAsia="zh-CN"/>
              </w:rPr>
              <w:t xml:space="preserve">CNY, </w:t>
            </w:r>
            <w:r>
              <w:rPr>
                <w:rFonts w:hint="default" w:hAnsi="Consolas" w:eastAsia="Consolas" w:cs="Consolas" w:asciiTheme="minorAscii"/>
                <w:b w:val="0"/>
                <w:bCs w:val="0"/>
                <w:caps w:val="0"/>
                <w:color w:val="auto"/>
                <w:spacing w:val="0"/>
                <w:sz w:val="20"/>
                <w:szCs w:val="20"/>
              </w:rPr>
              <w:t>Termasuk Pajak)</w:t>
            </w:r>
          </w:p>
        </w:tc>
        <w:tc>
          <w:tcPr>
            <w:tcW w:w="1306" w:type="dxa"/>
            <w:gridSpan w:val="2"/>
            <w:noWrap w:val="0"/>
            <w:vAlign w:val="center"/>
          </w:tcPr>
          <w:p w14:paraId="536B01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Jaminan Lelang</w:t>
            </w:r>
          </w:p>
          <w:p w14:paraId="1CF225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 xml:space="preserve">(10.000 Yuan </w:t>
            </w:r>
            <w:r>
              <w:rPr>
                <w:rFonts w:hint="eastAsia" w:hAnsi="Consolas" w:cs="Consolas" w:asciiTheme="minorAscii"/>
                <w:b w:val="0"/>
                <w:bCs w:val="0"/>
                <w:caps w:val="0"/>
                <w:color w:val="auto"/>
                <w:spacing w:val="0"/>
                <w:sz w:val="20"/>
                <w:szCs w:val="20"/>
                <w:lang w:val="en-US" w:eastAsia="zh-CN"/>
              </w:rPr>
              <w:t>CNY</w:t>
            </w:r>
            <w:r>
              <w:rPr>
                <w:rFonts w:hint="default" w:hAnsi="Consolas" w:eastAsia="Consolas" w:cs="Consolas" w:asciiTheme="minorAscii"/>
                <w:b w:val="0"/>
                <w:bCs w:val="0"/>
                <w:caps w:val="0"/>
                <w:color w:val="auto"/>
                <w:spacing w:val="0"/>
                <w:sz w:val="20"/>
                <w:szCs w:val="20"/>
              </w:rPr>
              <w:t>)</w:t>
            </w:r>
          </w:p>
          <w:p w14:paraId="12798D33">
            <w:pPr>
              <w:widowControl/>
              <w:jc w:val="center"/>
              <w:rPr>
                <w:rFonts w:hint="eastAsia" w:hAnsi="宋体" w:eastAsia="宋体" w:cs="宋体" w:asciiTheme="minorAscii"/>
                <w:b w:val="0"/>
                <w:bCs w:val="0"/>
                <w:color w:val="auto"/>
                <w:kern w:val="0"/>
                <w:sz w:val="20"/>
                <w:szCs w:val="20"/>
              </w:rPr>
            </w:pPr>
          </w:p>
        </w:tc>
      </w:tr>
      <w:tr w14:paraId="6A7F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175630FD">
            <w:pPr>
              <w:jc w:val="center"/>
              <w:rPr>
                <w:rFonts w:asciiTheme="minorAscii"/>
                <w:b w:val="0"/>
                <w:bCs w:val="0"/>
                <w:color w:val="auto"/>
                <w:sz w:val="20"/>
                <w:szCs w:val="20"/>
              </w:rPr>
            </w:pPr>
            <w:r>
              <w:rPr>
                <w:rFonts w:hint="eastAsia" w:asciiTheme="minorAscii"/>
                <w:b w:val="0"/>
                <w:bCs w:val="0"/>
                <w:color w:val="auto"/>
                <w:sz w:val="20"/>
                <w:szCs w:val="20"/>
              </w:rPr>
              <w:t>1</w:t>
            </w:r>
          </w:p>
        </w:tc>
        <w:tc>
          <w:tcPr>
            <w:tcW w:w="2251" w:type="dxa"/>
            <w:gridSpan w:val="2"/>
            <w:noWrap w:val="0"/>
            <w:vAlign w:val="center"/>
          </w:tcPr>
          <w:p w14:paraId="5223E2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eastAsia"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kern w:val="0"/>
                <w:sz w:val="20"/>
                <w:szCs w:val="20"/>
                <w:lang w:val="en-US" w:eastAsia="zh-CN" w:bidi="ar"/>
              </w:rPr>
              <w:t>Transfer Sejumlah Aset Afkir dari Proyek Indonesia CNPC Bohai Drilling Engineering Co., Ltd.</w:t>
            </w:r>
          </w:p>
        </w:tc>
        <w:tc>
          <w:tcPr>
            <w:tcW w:w="1043" w:type="dxa"/>
            <w:noWrap w:val="0"/>
            <w:vAlign w:val="center"/>
          </w:tcPr>
          <w:p w14:paraId="51029AA9">
            <w:pPr>
              <w:widowControl/>
              <w:jc w:val="center"/>
              <w:rPr>
                <w:rFonts w:hint="default"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rPr>
              <w:t>73</w:t>
            </w:r>
          </w:p>
        </w:tc>
        <w:tc>
          <w:tcPr>
            <w:tcW w:w="1404" w:type="dxa"/>
            <w:gridSpan w:val="2"/>
            <w:noWrap w:val="0"/>
            <w:vAlign w:val="center"/>
          </w:tcPr>
          <w:p w14:paraId="0A0D9437">
            <w:pPr>
              <w:widowControl/>
              <w:jc w:val="center"/>
              <w:rPr>
                <w:rFonts w:hint="default"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lang w:val="en-US" w:eastAsia="zh-CN"/>
              </w:rPr>
              <w:t>396717</w:t>
            </w:r>
          </w:p>
        </w:tc>
        <w:tc>
          <w:tcPr>
            <w:tcW w:w="1417" w:type="dxa"/>
            <w:gridSpan w:val="3"/>
            <w:noWrap w:val="0"/>
            <w:vAlign w:val="center"/>
          </w:tcPr>
          <w:p w14:paraId="43736577">
            <w:pPr>
              <w:widowControl/>
              <w:jc w:val="center"/>
              <w:rPr>
                <w:rFonts w:hint="default"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lang w:val="en-US" w:eastAsia="zh-CN"/>
              </w:rPr>
              <w:t>440356</w:t>
            </w:r>
          </w:p>
        </w:tc>
        <w:tc>
          <w:tcPr>
            <w:tcW w:w="1306" w:type="dxa"/>
            <w:gridSpan w:val="2"/>
            <w:noWrap w:val="0"/>
            <w:vAlign w:val="center"/>
          </w:tcPr>
          <w:p w14:paraId="2CA66760">
            <w:pPr>
              <w:widowControl/>
              <w:jc w:val="center"/>
              <w:rPr>
                <w:rFonts w:hint="default"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lang w:val="en-US" w:eastAsia="zh-CN"/>
              </w:rPr>
              <w:t>10</w:t>
            </w:r>
          </w:p>
        </w:tc>
      </w:tr>
      <w:tr w14:paraId="5B63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noWrap w:val="0"/>
            <w:vAlign w:val="center"/>
          </w:tcPr>
          <w:p w14:paraId="5E4CFE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eastAsia" w:asciiTheme="minorAscii"/>
                <w:b w:val="0"/>
                <w:bCs w:val="0"/>
                <w:color w:val="auto"/>
                <w:sz w:val="20"/>
                <w:szCs w:val="20"/>
              </w:rPr>
            </w:pPr>
            <w:r>
              <w:rPr>
                <w:rFonts w:hint="default" w:hAnsi="Consolas" w:eastAsia="Consolas" w:cs="Consolas" w:asciiTheme="minorAscii"/>
                <w:b w:val="0"/>
                <w:bCs w:val="0"/>
                <w:caps w:val="0"/>
                <w:color w:val="auto"/>
                <w:spacing w:val="0"/>
                <w:sz w:val="20"/>
                <w:szCs w:val="20"/>
              </w:rPr>
              <w:t>Kondisi Aset</w:t>
            </w:r>
          </w:p>
        </w:tc>
        <w:tc>
          <w:tcPr>
            <w:tcW w:w="7421" w:type="dxa"/>
            <w:gridSpan w:val="10"/>
            <w:noWrap w:val="0"/>
            <w:vAlign w:val="top"/>
          </w:tcPr>
          <w:p w14:paraId="7C4604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asciiTheme="minorAscii"/>
                <w:b w:val="0"/>
                <w:bCs w:val="0"/>
                <w:color w:val="auto"/>
                <w:sz w:val="20"/>
                <w:szCs w:val="20"/>
                <w:lang w:val="en-US" w:eastAsia="zh-CN"/>
              </w:rPr>
            </w:pPr>
            <w:r>
              <w:rPr>
                <w:rFonts w:hint="default" w:hAnsi="Consolas" w:eastAsia="Consolas" w:cs="Consolas" w:asciiTheme="minorAscii"/>
                <w:b w:val="0"/>
                <w:bCs w:val="0"/>
                <w:caps w:val="0"/>
                <w:color w:val="auto"/>
                <w:spacing w:val="0"/>
                <w:sz w:val="20"/>
                <w:szCs w:val="20"/>
              </w:rPr>
              <w:t>Material aset akan ditransfer melalui penawaran karena usang secara teknologi dan penghentian kontrak. Material utama terdiri dari tangki vertikal, instrumen logging terintegrasi, tangki batch campuran, asrama, suku cadang rig pengeboran, dll. Lihat laporan penilaian aset afkir untuk detailnya.</w:t>
            </w:r>
          </w:p>
        </w:tc>
      </w:tr>
      <w:tr w14:paraId="2A70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53CD42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asciiTheme="minorAscii"/>
                <w:b w:val="0"/>
                <w:bCs w:val="0"/>
                <w:color w:val="auto"/>
                <w:sz w:val="20"/>
                <w:szCs w:val="20"/>
              </w:rPr>
            </w:pPr>
            <w:r>
              <w:rPr>
                <w:rFonts w:hint="default" w:hAnsi="Consolas" w:eastAsia="Consolas" w:cs="Consolas" w:asciiTheme="minorAscii"/>
                <w:b w:val="0"/>
                <w:bCs w:val="0"/>
                <w:caps w:val="0"/>
                <w:color w:val="auto"/>
                <w:spacing w:val="0"/>
                <w:sz w:val="20"/>
                <w:szCs w:val="20"/>
              </w:rPr>
              <w:t>Pemberitahuan Khusus</w:t>
            </w:r>
          </w:p>
        </w:tc>
        <w:tc>
          <w:tcPr>
            <w:tcW w:w="7421" w:type="dxa"/>
            <w:gridSpan w:val="10"/>
            <w:noWrap w:val="0"/>
            <w:vAlign w:val="center"/>
          </w:tcPr>
          <w:p w14:paraId="78B3F9CD">
            <w:pPr>
              <w:pStyle w:val="2"/>
              <w:numPr>
                <w:ilvl w:val="0"/>
                <w:numId w:val="1"/>
              </w:numPr>
              <w:ind w:left="0" w:leftChars="0" w:firstLine="0" w:firstLineChars="0"/>
              <w:jc w:val="left"/>
              <w:rPr>
                <w:rFonts w:hint="eastAsia" w:hAnsi="宋体" w:eastAsia="宋体" w:cs="宋体" w:asciiTheme="minorAscii"/>
                <w:b w:val="0"/>
                <w:bCs w:val="0"/>
                <w:color w:val="auto"/>
                <w:kern w:val="0"/>
                <w:sz w:val="20"/>
                <w:szCs w:val="20"/>
                <w:lang w:val="en-US" w:eastAsia="zh-CN" w:bidi="ar-SA"/>
              </w:rPr>
            </w:pPr>
            <w:r>
              <w:rPr>
                <w:rFonts w:hint="eastAsia" w:hAnsi="宋体" w:eastAsia="宋体" w:cs="宋体" w:asciiTheme="minorAscii"/>
                <w:b w:val="0"/>
                <w:bCs w:val="0"/>
                <w:color w:val="auto"/>
                <w:kern w:val="0"/>
                <w:sz w:val="20"/>
                <w:szCs w:val="20"/>
                <w:lang w:val="en-US" w:eastAsia="zh-CN" w:bidi="ar-SA"/>
              </w:rPr>
              <w:t>Aset yang ditransfer ini tidak dapat dibawa keluar dari wilayah Indonesia, jika tidak, biaya selain harga transaksi dan biaya layanan transaksi yang timbul akan ditanggung oleh Penerima Pengalihan.</w:t>
            </w:r>
          </w:p>
          <w:p w14:paraId="016FFDC4">
            <w:pPr>
              <w:pStyle w:val="2"/>
              <w:numPr>
                <w:ilvl w:val="0"/>
                <w:numId w:val="1"/>
              </w:numPr>
              <w:ind w:left="0" w:leftChars="0" w:firstLine="0" w:firstLineChars="0"/>
              <w:jc w:val="left"/>
              <w:rPr>
                <w:rFonts w:hint="eastAsia" w:hAnsi="宋体" w:eastAsia="宋体" w:cs="宋体" w:asciiTheme="minorAscii"/>
                <w:b w:val="0"/>
                <w:bCs w:val="0"/>
                <w:color w:val="auto"/>
                <w:kern w:val="0"/>
                <w:sz w:val="20"/>
                <w:szCs w:val="20"/>
                <w:lang w:val="en-US" w:eastAsia="zh-CN" w:bidi="ar-SA"/>
              </w:rPr>
            </w:pPr>
            <w:r>
              <w:rPr>
                <w:rFonts w:hint="eastAsia" w:hAnsi="宋体" w:eastAsia="宋体" w:cs="宋体" w:asciiTheme="minorAscii"/>
                <w:b w:val="0"/>
                <w:bCs w:val="0"/>
                <w:color w:val="auto"/>
                <w:kern w:val="0"/>
                <w:sz w:val="20"/>
                <w:szCs w:val="20"/>
                <w:lang w:val="en-US" w:eastAsia="zh-CN" w:bidi="ar-SA"/>
              </w:rPr>
              <w:t>Sistem lelang (E-Trading) untuk aset yang ditransfer ini menggunakan Yuan RMB sebagai mata uang penawaran.</w:t>
            </w:r>
          </w:p>
          <w:p w14:paraId="4A15FF94">
            <w:pPr>
              <w:widowControl/>
              <w:numPr>
                <w:ilvl w:val="0"/>
                <w:numId w:val="1"/>
              </w:numPr>
              <w:jc w:val="left"/>
              <w:rPr>
                <w:rFonts w:hint="eastAsia"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lang w:val="en-US" w:eastAsia="zh-CN"/>
              </w:rPr>
              <w:t>Pihak yang berminat harus memeriksa sendiri aset proyek. Pihak yang berminat yang tidak memeriksa dianggap telah mengonfirmasi kondisi terkini aset yang ditransfer. Aset yang ditransfer ini adalah aset tetap yang telah mencapai masa pakai dan tidak dapat digunakan lagi, kualitas aktualnya berubah seiring dengan kondisi penyimpanan dan berbagai faktor tak terduga. Perubahan pada aset aktual, status penggunaan, kualitas aset, apakah fisik dapat beroperasi normal, dll., tidak mempengaruhi transaksi dan harga.</w:t>
            </w:r>
          </w:p>
          <w:p w14:paraId="2A00AB8E">
            <w:pPr>
              <w:widowControl/>
              <w:numPr>
                <w:ilvl w:val="0"/>
                <w:numId w:val="1"/>
              </w:numPr>
              <w:jc w:val="left"/>
              <w:rPr>
                <w:rFonts w:hint="default" w:hAnsi="宋体" w:eastAsia="宋体" w:cs="宋体" w:asciiTheme="minorAscii"/>
                <w:b w:val="0"/>
                <w:bCs w:val="0"/>
                <w:color w:val="auto"/>
                <w:kern w:val="0"/>
                <w:sz w:val="20"/>
                <w:szCs w:val="20"/>
                <w:lang w:val="en-US" w:eastAsia="zh-CN"/>
              </w:rPr>
            </w:pPr>
            <w:r>
              <w:rPr>
                <w:rFonts w:hint="default" w:hAnsi="宋体" w:eastAsia="宋体" w:cs="宋体" w:asciiTheme="minorAscii"/>
                <w:b w:val="0"/>
                <w:bCs w:val="0"/>
                <w:color w:val="auto"/>
                <w:kern w:val="0"/>
                <w:sz w:val="20"/>
                <w:szCs w:val="20"/>
                <w:lang w:val="en-US" w:eastAsia="zh-CN"/>
              </w:rPr>
              <w:t>Penerima Pengalihan harus menyediakan sendiri alat, bahan kemasan, kendaraan angkut, personel profesional, dll. yang diperlukan untuk mengambil alih aset afkir dari Pihak Pengalih, dan menanggung semua biaya, risiko, dan tanggung jawab kerugian ekonomi yang timbul selama proses pengambilalihan, termasuk namun tidak terbatas pada biaya tenaga kerja, biaya pembongkaran, biaya penggunaan peralatan, biaya pengemasan, biaya layanan, biaya transportasi, dll. Pajak dan biaya yang terkait dalam transaksi harus dibayar sesuai dengan peraturan negara tempat aset berada, dan akan ditanggung oleh Penerima Pengalihan.</w:t>
            </w:r>
          </w:p>
          <w:p w14:paraId="6BC72E55">
            <w:pPr>
              <w:pStyle w:val="2"/>
              <w:numPr>
                <w:ilvl w:val="0"/>
                <w:numId w:val="1"/>
              </w:numPr>
              <w:ind w:left="0" w:leftChars="0" w:firstLine="0" w:firstLineChars="0"/>
              <w:jc w:val="left"/>
              <w:rPr>
                <w:rFonts w:hint="default" w:hAnsi="宋体" w:eastAsia="宋体" w:cs="宋体" w:asciiTheme="minorAscii"/>
                <w:b w:val="0"/>
                <w:bCs w:val="0"/>
                <w:color w:val="auto"/>
                <w:kern w:val="0"/>
                <w:sz w:val="20"/>
                <w:szCs w:val="20"/>
                <w:lang w:val="en-US" w:eastAsia="zh-CN" w:bidi="ar-SA"/>
              </w:rPr>
            </w:pPr>
            <w:r>
              <w:rPr>
                <w:rFonts w:hint="default" w:hAnsi="宋体" w:eastAsia="宋体" w:cs="宋体" w:asciiTheme="minorAscii"/>
                <w:b w:val="0"/>
                <w:bCs w:val="0"/>
                <w:color w:val="auto"/>
                <w:kern w:val="0"/>
                <w:sz w:val="20"/>
                <w:szCs w:val="20"/>
                <w:lang w:val="en-US" w:eastAsia="zh-CN" w:bidi="ar-SA"/>
              </w:rPr>
              <w:t>Aset ditransfer berdasarkan kondisi yang ada. Gambar dan deskripsi tekstual tentang aset dalam pengumuman ini hanya untuk referensi, dan kondisi aktual berdasarkan inspeksi lapangan yang berlaku. Informasi terkait proyek ini disediakan oleh Pihak Pengalih, dan Bursa Properti Hainan tidak memberikan jaminan atau tanggung jawab hukum lainnya. Data rinci aset dapat dilihat di Bursa Properti Hainan, atau dapat menghubungi Pihak Pengalih untuk melihat data rinci, termasuk namun tidak terbatas pada laporan penilaian, dll.</w:t>
            </w:r>
          </w:p>
          <w:p w14:paraId="7F72A5F2">
            <w:pPr>
              <w:pStyle w:val="2"/>
              <w:numPr>
                <w:ilvl w:val="0"/>
                <w:numId w:val="1"/>
              </w:numPr>
              <w:ind w:left="0" w:leftChars="0" w:firstLine="0" w:firstLineChars="0"/>
              <w:jc w:val="left"/>
              <w:rPr>
                <w:rFonts w:hint="default" w:hAnsi="宋体" w:eastAsia="宋体" w:cs="宋体" w:asciiTheme="minorAscii"/>
                <w:b w:val="0"/>
                <w:bCs w:val="0"/>
                <w:color w:val="auto"/>
                <w:kern w:val="0"/>
                <w:sz w:val="20"/>
                <w:szCs w:val="20"/>
                <w:lang w:val="en-US" w:eastAsia="zh-CN" w:bidi="ar-SA"/>
              </w:rPr>
            </w:pPr>
            <w:r>
              <w:rPr>
                <w:rFonts w:hint="default" w:hAnsi="宋体" w:eastAsia="宋体" w:cs="宋体" w:asciiTheme="minorAscii"/>
                <w:b w:val="0"/>
                <w:bCs w:val="0"/>
                <w:color w:val="auto"/>
                <w:kern w:val="0"/>
                <w:sz w:val="20"/>
                <w:szCs w:val="20"/>
                <w:lang w:val="en-US" w:eastAsia="zh-CN" w:bidi="ar-SA"/>
              </w:rPr>
              <w:t>Proyek transfer ini tunduk pada hukum China dan mekanisme penyelesaian sengketa China. Jika terdapat ketidakkonsistenan antara pengumuman dalam bahasa China dan bahasa asing, versi bahasa China yang berlaku.</w:t>
            </w:r>
          </w:p>
          <w:p w14:paraId="225355EA">
            <w:pPr>
              <w:pStyle w:val="2"/>
              <w:numPr>
                <w:ilvl w:val="0"/>
                <w:numId w:val="1"/>
              </w:numPr>
              <w:ind w:left="0" w:leftChars="0" w:firstLine="0" w:firstLineChars="0"/>
              <w:jc w:val="left"/>
              <w:rPr>
                <w:rFonts w:hint="default" w:hAnsi="宋体" w:eastAsia="宋体" w:cs="宋体" w:asciiTheme="minorAscii"/>
                <w:b w:val="0"/>
                <w:bCs w:val="0"/>
                <w:color w:val="auto"/>
                <w:kern w:val="0"/>
                <w:sz w:val="20"/>
                <w:szCs w:val="20"/>
                <w:lang w:val="en-US" w:eastAsia="zh-CN" w:bidi="ar-SA"/>
              </w:rPr>
            </w:pPr>
            <w:r>
              <w:rPr>
                <w:rFonts w:hint="default" w:hAnsi="宋体" w:eastAsia="宋体" w:cs="宋体" w:asciiTheme="minorAscii"/>
                <w:b w:val="0"/>
                <w:bCs w:val="0"/>
                <w:color w:val="auto"/>
                <w:kern w:val="0"/>
                <w:sz w:val="20"/>
                <w:szCs w:val="20"/>
                <w:lang w:val="en-US" w:eastAsia="zh-CN" w:bidi="ar-SA"/>
              </w:rPr>
              <w:t>Pusat Tender Great Wall Drilling Engineering Company Limited (Pusat Dukungan Tender CNPC Technical Services) bertindak untuk menangani aset rongsok Bohai Drilling Engineering Company Limited berdasarkan "Peraturan Pelaksanaan Manajemen Disposisi Aset Terpusat dari China National Petroleum Corporation Oilfield Technology Services Company Limited", dan akan membebankan biaya layanan sebesar 4% dari harga transaksi berdasarkan "Perjanjian Kerja Sama antara China National Petroleum Corporation Great Wall Drilling Engineering Company Limited dan Bursa Hak Milik Hainan Co., Ltd.", yang akan dibayar oleh Penerima Transfer.</w:t>
            </w:r>
          </w:p>
        </w:tc>
      </w:tr>
      <w:tr w14:paraId="3A06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01" w:type="dxa"/>
            <w:vMerge w:val="restart"/>
            <w:noWrap w:val="0"/>
            <w:vAlign w:val="center"/>
          </w:tcPr>
          <w:p w14:paraId="680C0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asciiTheme="minorAscii"/>
                <w:b w:val="0"/>
                <w:bCs w:val="0"/>
                <w:color w:val="auto"/>
                <w:sz w:val="20"/>
                <w:szCs w:val="20"/>
              </w:rPr>
            </w:pPr>
            <w:r>
              <w:rPr>
                <w:rFonts w:hint="default" w:hAnsi="Consolas" w:eastAsia="Consolas" w:cs="Consolas" w:asciiTheme="minorAscii"/>
                <w:b w:val="0"/>
                <w:bCs w:val="0"/>
                <w:caps w:val="0"/>
                <w:color w:val="auto"/>
                <w:spacing w:val="0"/>
                <w:sz w:val="20"/>
                <w:szCs w:val="20"/>
              </w:rPr>
              <w:t>Kondisi Penilaian</w:t>
            </w:r>
          </w:p>
        </w:tc>
        <w:tc>
          <w:tcPr>
            <w:tcW w:w="1275" w:type="dxa"/>
            <w:noWrap w:val="0"/>
            <w:vAlign w:val="center"/>
          </w:tcPr>
          <w:p w14:paraId="007EAA12">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Total Nilai Penilaian</w:t>
            </w:r>
          </w:p>
        </w:tc>
        <w:tc>
          <w:tcPr>
            <w:tcW w:w="6146" w:type="dxa"/>
            <w:gridSpan w:val="9"/>
            <w:noWrap w:val="0"/>
            <w:vAlign w:val="center"/>
          </w:tcPr>
          <w:p w14:paraId="4A9E6A1B">
            <w:pPr>
              <w:widowControl/>
              <w:jc w:val="center"/>
              <w:rPr>
                <w:rFonts w:hint="default" w:hAnsi="宋体" w:eastAsia="宋体" w:cs="宋体" w:asciiTheme="minorAscii"/>
                <w:b w:val="0"/>
                <w:bCs w:val="0"/>
                <w:color w:val="auto"/>
                <w:kern w:val="0"/>
                <w:sz w:val="20"/>
                <w:szCs w:val="20"/>
                <w:lang w:val="en-US"/>
              </w:rPr>
            </w:pPr>
            <w:r>
              <w:rPr>
                <w:rFonts w:hint="eastAsia" w:hAnsi="宋体" w:cs="宋体" w:asciiTheme="minorAscii"/>
                <w:b w:val="0"/>
                <w:bCs w:val="0"/>
                <w:color w:val="auto"/>
                <w:kern w:val="0"/>
                <w:sz w:val="20"/>
                <w:szCs w:val="20"/>
                <w:lang w:val="en-US" w:eastAsia="zh-CN"/>
              </w:rPr>
              <w:t>396717 Yuan RMB (Tidak Termasuk Pajak)</w:t>
            </w:r>
          </w:p>
        </w:tc>
      </w:tr>
      <w:tr w14:paraId="4654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noWrap w:val="0"/>
            <w:vAlign w:val="top"/>
          </w:tcPr>
          <w:p w14:paraId="1F670512">
            <w:pPr>
              <w:jc w:val="center"/>
              <w:rPr>
                <w:rFonts w:asciiTheme="minorAscii"/>
                <w:b w:val="0"/>
                <w:bCs w:val="0"/>
                <w:color w:val="auto"/>
                <w:sz w:val="20"/>
                <w:szCs w:val="20"/>
              </w:rPr>
            </w:pPr>
          </w:p>
        </w:tc>
        <w:tc>
          <w:tcPr>
            <w:tcW w:w="1275" w:type="dxa"/>
            <w:noWrap w:val="0"/>
            <w:vAlign w:val="center"/>
          </w:tcPr>
          <w:p w14:paraId="13DB2E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Tanggal Dasar Penilaian</w:t>
            </w:r>
          </w:p>
        </w:tc>
        <w:tc>
          <w:tcPr>
            <w:tcW w:w="6146" w:type="dxa"/>
            <w:gridSpan w:val="9"/>
            <w:noWrap w:val="0"/>
            <w:vAlign w:val="center"/>
          </w:tcPr>
          <w:p w14:paraId="187CCA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31 Oktober 2025</w:t>
            </w:r>
          </w:p>
        </w:tc>
      </w:tr>
      <w:tr w14:paraId="5647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1" w:type="dxa"/>
            <w:vMerge w:val="continue"/>
            <w:noWrap w:val="0"/>
            <w:vAlign w:val="top"/>
          </w:tcPr>
          <w:p w14:paraId="6C67B38A">
            <w:pPr>
              <w:jc w:val="center"/>
              <w:rPr>
                <w:rFonts w:asciiTheme="minorAscii"/>
                <w:b w:val="0"/>
                <w:bCs w:val="0"/>
                <w:color w:val="auto"/>
                <w:sz w:val="20"/>
                <w:szCs w:val="20"/>
              </w:rPr>
            </w:pPr>
          </w:p>
        </w:tc>
        <w:tc>
          <w:tcPr>
            <w:tcW w:w="1275" w:type="dxa"/>
            <w:noWrap w:val="0"/>
            <w:vAlign w:val="center"/>
          </w:tcPr>
          <w:p w14:paraId="32F53B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default" w:hAnsi="宋体" w:eastAsia="宋体" w:cs="宋体" w:asciiTheme="minorAscii"/>
                <w:b w:val="0"/>
                <w:bCs w:val="0"/>
                <w:color w:val="auto"/>
                <w:kern w:val="0"/>
                <w:sz w:val="20"/>
                <w:szCs w:val="20"/>
                <w:lang w:val="en-US" w:eastAsia="zh-CN"/>
              </w:rPr>
            </w:pPr>
            <w:r>
              <w:rPr>
                <w:rFonts w:hint="default" w:hAnsi="Consolas" w:eastAsia="Consolas" w:cs="Consolas" w:asciiTheme="minorAscii"/>
                <w:b w:val="0"/>
                <w:bCs w:val="0"/>
                <w:caps w:val="0"/>
                <w:color w:val="auto"/>
                <w:spacing w:val="0"/>
                <w:sz w:val="20"/>
                <w:szCs w:val="20"/>
              </w:rPr>
              <w:t>Lembaga Penilai</w:t>
            </w:r>
          </w:p>
        </w:tc>
        <w:tc>
          <w:tcPr>
            <w:tcW w:w="6146" w:type="dxa"/>
            <w:gridSpan w:val="9"/>
            <w:noWrap w:val="0"/>
            <w:vAlign w:val="center"/>
          </w:tcPr>
          <w:p w14:paraId="24072F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int="default" w:hAnsi="宋体" w:cs="宋体" w:asciiTheme="minorAscii"/>
                <w:b w:val="0"/>
                <w:bCs w:val="0"/>
                <w:color w:val="auto"/>
                <w:kern w:val="0"/>
                <w:sz w:val="20"/>
                <w:szCs w:val="20"/>
                <w:lang w:val="en-US" w:eastAsia="zh-CN"/>
              </w:rPr>
            </w:pPr>
            <w:r>
              <w:rPr>
                <w:rFonts w:hint="default" w:hAnsi="Consolas" w:eastAsia="Consolas" w:cs="Consolas" w:asciiTheme="minorAscii"/>
                <w:b w:val="0"/>
                <w:bCs w:val="0"/>
                <w:caps w:val="0"/>
                <w:color w:val="auto"/>
                <w:spacing w:val="0"/>
                <w:sz w:val="20"/>
                <w:szCs w:val="20"/>
              </w:rPr>
              <w:t>Beijing Yachao Asset Valuation Co., Ltd.</w:t>
            </w:r>
          </w:p>
        </w:tc>
      </w:tr>
      <w:tr w14:paraId="4994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522" w:type="dxa"/>
            <w:gridSpan w:val="11"/>
            <w:noWrap w:val="0"/>
            <w:vAlign w:val="center"/>
          </w:tcPr>
          <w:p w14:paraId="5A4B7A82">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bCs/>
                <w:color w:val="auto"/>
                <w:kern w:val="0"/>
                <w:sz w:val="20"/>
                <w:szCs w:val="20"/>
              </w:rPr>
              <w:t>Informasi Dasar Pihak Pengalih</w:t>
            </w:r>
          </w:p>
        </w:tc>
      </w:tr>
      <w:tr w14:paraId="1554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vMerge w:val="restart"/>
            <w:noWrap w:val="0"/>
            <w:vAlign w:val="center"/>
          </w:tcPr>
          <w:p w14:paraId="2820328F">
            <w:pPr>
              <w:jc w:val="center"/>
              <w:rPr>
                <w:rFonts w:asciiTheme="minorAscii"/>
                <w:b w:val="0"/>
                <w:bCs w:val="0"/>
                <w:color w:val="auto"/>
                <w:sz w:val="20"/>
                <w:szCs w:val="20"/>
              </w:rPr>
            </w:pPr>
            <w:r>
              <w:rPr>
                <w:rFonts w:hint="eastAsia" w:asciiTheme="minorAscii"/>
                <w:b w:val="0"/>
                <w:bCs w:val="0"/>
                <w:color w:val="auto"/>
                <w:sz w:val="20"/>
                <w:szCs w:val="20"/>
              </w:rPr>
              <w:t>Pihak Pengalih</w:t>
            </w:r>
          </w:p>
        </w:tc>
        <w:tc>
          <w:tcPr>
            <w:tcW w:w="1275" w:type="dxa"/>
            <w:noWrap w:val="0"/>
            <w:vAlign w:val="center"/>
          </w:tcPr>
          <w:p w14:paraId="0D0C28DA">
            <w:pPr>
              <w:widowControl/>
              <w:spacing w:line="13" w:lineRule="atLeast"/>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Pihak Pengalih</w:t>
            </w:r>
          </w:p>
        </w:tc>
        <w:tc>
          <w:tcPr>
            <w:tcW w:w="6146" w:type="dxa"/>
            <w:gridSpan w:val="9"/>
            <w:noWrap w:val="0"/>
            <w:vAlign w:val="center"/>
          </w:tcPr>
          <w:p w14:paraId="409EBAAF">
            <w:pPr>
              <w:widowControl/>
              <w:spacing w:line="13" w:lineRule="atLeast"/>
              <w:jc w:val="left"/>
              <w:rPr>
                <w:rFonts w:hint="default"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rPr>
              <w:t>Nama Pihak Pengalih: CNPC Bohai Drilling Engineering Co., Ltd.</w:t>
            </w:r>
          </w:p>
        </w:tc>
      </w:tr>
      <w:tr w14:paraId="55DF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noWrap w:val="0"/>
            <w:vAlign w:val="top"/>
          </w:tcPr>
          <w:p w14:paraId="67FBBC24">
            <w:pPr>
              <w:jc w:val="center"/>
              <w:rPr>
                <w:rFonts w:asciiTheme="minorAscii"/>
                <w:b w:val="0"/>
                <w:bCs w:val="0"/>
                <w:color w:val="auto"/>
                <w:sz w:val="20"/>
                <w:szCs w:val="20"/>
              </w:rPr>
            </w:pPr>
          </w:p>
        </w:tc>
        <w:tc>
          <w:tcPr>
            <w:tcW w:w="1275" w:type="dxa"/>
            <w:noWrap w:val="0"/>
            <w:vAlign w:val="center"/>
          </w:tcPr>
          <w:p w14:paraId="2CEE84E2">
            <w:pPr>
              <w:widowControl/>
              <w:spacing w:line="13" w:lineRule="atLeast"/>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Komitmen Pihak Pengalih</w:t>
            </w:r>
          </w:p>
        </w:tc>
        <w:tc>
          <w:tcPr>
            <w:tcW w:w="6146" w:type="dxa"/>
            <w:gridSpan w:val="9"/>
            <w:noWrap w:val="0"/>
            <w:vAlign w:val="center"/>
          </w:tcPr>
          <w:p w14:paraId="52BFFDE4">
            <w:pPr>
              <w:widowControl/>
              <w:spacing w:line="13" w:lineRule="atLeast"/>
              <w:jc w:val="left"/>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Transfer aset ini merupakan keinginan sebenarnya dari pihak kami, hak kepemilikan aset yang ditransfer jelas, dan pihak kami memiliki hak disposisi penuh atas aset tersebut;</w:t>
            </w:r>
            <w:r>
              <w:rPr>
                <w:rFonts w:hint="eastAsia" w:hAnsi="宋体" w:eastAsia="宋体" w:cs="宋体" w:asciiTheme="minorAscii"/>
                <w:b w:val="0"/>
                <w:bCs w:val="0"/>
                <w:color w:val="auto"/>
                <w:kern w:val="0"/>
                <w:sz w:val="20"/>
                <w:szCs w:val="20"/>
              </w:rPr>
              <w:br w:type="textWrapping"/>
            </w:r>
            <w:r>
              <w:rPr>
                <w:rFonts w:hint="eastAsia" w:hAnsi="宋体" w:eastAsia="宋体" w:cs="宋体" w:asciiTheme="minorAscii"/>
                <w:b w:val="0"/>
                <w:bCs w:val="0"/>
                <w:color w:val="auto"/>
                <w:kern w:val="0"/>
                <w:sz w:val="20"/>
                <w:szCs w:val="20"/>
              </w:rPr>
              <w:t>Tindakan terkait transfer aset oleh pihak kami telah melalui prosedur yang sesuai, keputusan internal yang efektif, dan telah mendapatkan persetujuan terkait;</w:t>
            </w:r>
            <w:r>
              <w:rPr>
                <w:rFonts w:hint="eastAsia" w:hAnsi="宋体" w:eastAsia="宋体" w:cs="宋体" w:asciiTheme="minorAscii"/>
                <w:b w:val="0"/>
                <w:bCs w:val="0"/>
                <w:color w:val="auto"/>
                <w:kern w:val="0"/>
                <w:sz w:val="20"/>
                <w:szCs w:val="20"/>
              </w:rPr>
              <w:br w:type="textWrapping"/>
            </w:r>
            <w:r>
              <w:rPr>
                <w:rFonts w:hint="eastAsia" w:hAnsi="宋体" w:eastAsia="宋体" w:cs="宋体" w:asciiTheme="minorAscii"/>
                <w:b w:val="0"/>
                <w:bCs w:val="0"/>
                <w:color w:val="auto"/>
                <w:kern w:val="0"/>
                <w:sz w:val="20"/>
                <w:szCs w:val="20"/>
              </w:rPr>
              <w:t>Isi "Pengumuman Transfer Aset" dan materi lampiran yang diajukan oleh pihak kami adalah benar, lengkap, sah, dan efektif, tidak ada catatan palsu, pernyataan menyesatkan, atau kelalaian material;</w:t>
            </w:r>
            <w:r>
              <w:rPr>
                <w:rFonts w:hint="eastAsia" w:hAnsi="宋体" w:eastAsia="宋体" w:cs="宋体" w:asciiTheme="minorAscii"/>
                <w:b w:val="0"/>
                <w:bCs w:val="0"/>
                <w:color w:val="auto"/>
                <w:kern w:val="0"/>
                <w:sz w:val="20"/>
                <w:szCs w:val="20"/>
              </w:rPr>
              <w:br w:type="textWrapping"/>
            </w:r>
            <w:r>
              <w:rPr>
                <w:rFonts w:hint="eastAsia" w:hAnsi="宋体" w:eastAsia="宋体" w:cs="宋体" w:asciiTheme="minorAscii"/>
                <w:b w:val="0"/>
                <w:bCs w:val="0"/>
                <w:color w:val="auto"/>
                <w:kern w:val="0"/>
                <w:sz w:val="20"/>
                <w:szCs w:val="20"/>
              </w:rPr>
              <w:t>Selama proses transfer, pihak kami mematuhi peraturan perundang-undangan dan aturan terkait transaksi aset, serta memenuhi kewajiban pihak kami sesuai dengan persyaratan yang relevan.</w:t>
            </w:r>
          </w:p>
        </w:tc>
      </w:tr>
      <w:tr w14:paraId="5A8A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noWrap w:val="0"/>
            <w:vAlign w:val="top"/>
          </w:tcPr>
          <w:p w14:paraId="5A6C0812">
            <w:pPr>
              <w:jc w:val="center"/>
              <w:rPr>
                <w:rFonts w:asciiTheme="minorAscii"/>
                <w:b w:val="0"/>
                <w:bCs w:val="0"/>
                <w:color w:val="auto"/>
                <w:sz w:val="20"/>
                <w:szCs w:val="20"/>
              </w:rPr>
            </w:pPr>
          </w:p>
        </w:tc>
        <w:tc>
          <w:tcPr>
            <w:tcW w:w="1275" w:type="dxa"/>
            <w:noWrap w:val="0"/>
            <w:vAlign w:val="center"/>
          </w:tcPr>
          <w:p w14:paraId="40DBBDC4">
            <w:pPr>
              <w:widowControl/>
              <w:spacing w:line="13" w:lineRule="atLeast"/>
              <w:jc w:val="center"/>
              <w:rPr>
                <w:rFonts w:hint="eastAsia"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rPr>
              <w:t>Pihak Pengalih</w:t>
            </w:r>
            <w:r>
              <w:rPr>
                <w:rFonts w:hint="eastAsia" w:hAnsi="宋体" w:cs="宋体" w:asciiTheme="minorAscii"/>
                <w:b w:val="0"/>
                <w:bCs w:val="0"/>
                <w:color w:val="auto"/>
                <w:kern w:val="0"/>
                <w:sz w:val="20"/>
                <w:szCs w:val="20"/>
                <w:lang w:val="en-US" w:eastAsia="zh-CN"/>
              </w:rPr>
              <w:t xml:space="preserve"> Dokumen Keputusan</w:t>
            </w:r>
          </w:p>
        </w:tc>
        <w:tc>
          <w:tcPr>
            <w:tcW w:w="6146" w:type="dxa"/>
            <w:gridSpan w:val="9"/>
            <w:noWrap w:val="0"/>
            <w:vAlign w:val="center"/>
          </w:tcPr>
          <w:p w14:paraId="27009C59">
            <w:pPr>
              <w:widowControl/>
              <w:spacing w:line="13" w:lineRule="atLeast"/>
              <w:jc w:val="left"/>
              <w:rPr>
                <w:rFonts w:hint="default" w:hAnsi="宋体" w:eastAsia="宋体" w:cs="宋体" w:asciiTheme="minorAscii"/>
                <w:b w:val="0"/>
                <w:bCs w:val="0"/>
                <w:color w:val="auto"/>
                <w:kern w:val="0"/>
                <w:sz w:val="20"/>
                <w:szCs w:val="20"/>
                <w:lang w:val="en-US" w:eastAsia="zh-CN"/>
              </w:rPr>
            </w:pPr>
            <w:r>
              <w:rPr>
                <w:rFonts w:hint="eastAsia" w:hAnsi="宋体" w:cs="宋体" w:asciiTheme="minorAscii"/>
                <w:b w:val="0"/>
                <w:bCs w:val="0"/>
                <w:color w:val="auto"/>
                <w:kern w:val="0"/>
                <w:sz w:val="20"/>
                <w:szCs w:val="20"/>
                <w:lang w:val="en-US" w:eastAsia="zh-CN"/>
              </w:rPr>
              <w:t>Risalah Rapat Komite Partai Komunis China Bohai Drilling Engineering Co., Ltd.</w:t>
            </w:r>
          </w:p>
        </w:tc>
      </w:tr>
      <w:tr w14:paraId="4F81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noWrap w:val="0"/>
            <w:vAlign w:val="top"/>
          </w:tcPr>
          <w:p w14:paraId="0677DB0E">
            <w:pPr>
              <w:jc w:val="center"/>
              <w:rPr>
                <w:rFonts w:asciiTheme="minorAscii"/>
                <w:b w:val="0"/>
                <w:bCs w:val="0"/>
                <w:color w:val="auto"/>
                <w:sz w:val="20"/>
                <w:szCs w:val="20"/>
              </w:rPr>
            </w:pPr>
          </w:p>
        </w:tc>
        <w:tc>
          <w:tcPr>
            <w:tcW w:w="1275" w:type="dxa"/>
            <w:noWrap w:val="0"/>
            <w:vAlign w:val="center"/>
          </w:tcPr>
          <w:p w14:paraId="13C95340">
            <w:pPr>
              <w:widowControl/>
              <w:spacing w:line="13" w:lineRule="atLeast"/>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Lembaga Penyetuju atau Pengarsipan Tindakan</w:t>
            </w:r>
          </w:p>
        </w:tc>
        <w:tc>
          <w:tcPr>
            <w:tcW w:w="6146" w:type="dxa"/>
            <w:gridSpan w:val="9"/>
            <w:noWrap w:val="0"/>
            <w:vAlign w:val="center"/>
          </w:tcPr>
          <w:p w14:paraId="58A38422">
            <w:pPr>
              <w:widowControl/>
              <w:spacing w:line="13" w:lineRule="atLeast"/>
              <w:jc w:val="left"/>
              <w:rPr>
                <w:rFonts w:hint="default" w:hAnsi="宋体" w:eastAsia="宋体" w:cs="宋体" w:asciiTheme="minorAscii"/>
                <w:b w:val="0"/>
                <w:bCs w:val="0"/>
                <w:color w:val="auto"/>
                <w:kern w:val="0"/>
                <w:sz w:val="20"/>
                <w:szCs w:val="20"/>
                <w:lang w:val="en-US" w:eastAsia="zh-CN"/>
              </w:rPr>
            </w:pPr>
            <w:r>
              <w:rPr>
                <w:rFonts w:hint="eastAsia" w:hAnsi="宋体" w:cs="宋体" w:asciiTheme="minorAscii"/>
                <w:b w:val="0"/>
                <w:bCs w:val="0"/>
                <w:color w:val="auto"/>
                <w:kern w:val="0"/>
                <w:sz w:val="20"/>
                <w:szCs w:val="20"/>
                <w:lang w:val="en-US" w:eastAsia="zh-CN"/>
              </w:rPr>
              <w:t xml:space="preserve">CNPC </w:t>
            </w:r>
            <w:r>
              <w:rPr>
                <w:rFonts w:hint="eastAsia" w:hAnsi="宋体" w:eastAsia="宋体" w:cs="宋体" w:asciiTheme="minorAscii"/>
                <w:b w:val="0"/>
                <w:bCs w:val="0"/>
                <w:color w:val="auto"/>
                <w:kern w:val="0"/>
                <w:sz w:val="20"/>
                <w:szCs w:val="20"/>
                <w:lang w:val="en-US" w:eastAsia="zh-CN"/>
              </w:rPr>
              <w:t>Bohai Drilling Engineering Co., Ltd.</w:t>
            </w:r>
          </w:p>
        </w:tc>
      </w:tr>
      <w:tr w14:paraId="6FAF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1"/>
            <w:noWrap w:val="0"/>
            <w:vAlign w:val="center"/>
          </w:tcPr>
          <w:p w14:paraId="7C5A605B">
            <w:pPr>
              <w:widowControl/>
              <w:spacing w:line="13" w:lineRule="atLeast"/>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Kualifikasi Penerima Pengalihan dan Ketentuan Transaksi</w:t>
            </w:r>
          </w:p>
        </w:tc>
      </w:tr>
      <w:tr w14:paraId="2AFD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01" w:type="dxa"/>
            <w:noWrap w:val="0"/>
            <w:vAlign w:val="center"/>
          </w:tcPr>
          <w:p w14:paraId="354E444B">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Penerima Pengalihan</w:t>
            </w:r>
            <w:r>
              <w:rPr>
                <w:rFonts w:hint="eastAsia" w:hAnsi="宋体" w:cs="宋体" w:asciiTheme="minorAscii"/>
                <w:b w:val="0"/>
                <w:bCs w:val="0"/>
                <w:color w:val="auto"/>
                <w:kern w:val="0"/>
                <w:sz w:val="20"/>
                <w:szCs w:val="20"/>
                <w:lang w:val="en-US" w:eastAsia="zh-CN"/>
              </w:rPr>
              <w:t xml:space="preserve"> </w:t>
            </w:r>
            <w:r>
              <w:rPr>
                <w:rFonts w:hint="eastAsia" w:hAnsi="宋体" w:eastAsia="宋体" w:cs="宋体" w:asciiTheme="minorAscii"/>
                <w:b w:val="0"/>
                <w:bCs w:val="0"/>
                <w:color w:val="auto"/>
                <w:kern w:val="0"/>
                <w:sz w:val="20"/>
                <w:szCs w:val="20"/>
              </w:rPr>
              <w:t>Kualifikasi</w:t>
            </w:r>
          </w:p>
        </w:tc>
        <w:tc>
          <w:tcPr>
            <w:tcW w:w="7421" w:type="dxa"/>
            <w:gridSpan w:val="10"/>
            <w:noWrap w:val="0"/>
            <w:vAlign w:val="center"/>
          </w:tcPr>
          <w:p w14:paraId="7B1C71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asciiTheme="minorAscii"/>
                <w:b w:val="0"/>
                <w:bCs w:val="0"/>
                <w:color w:val="auto"/>
                <w:sz w:val="20"/>
                <w:szCs w:val="20"/>
                <w:lang w:val="en-US" w:eastAsia="zh-CN"/>
              </w:rPr>
            </w:pPr>
            <w:r>
              <w:rPr>
                <w:rFonts w:hint="default" w:hAnsi="Consolas" w:eastAsia="Consolas" w:cs="Consolas" w:asciiTheme="minorAscii"/>
                <w:b w:val="0"/>
                <w:bCs w:val="0"/>
                <w:caps w:val="0"/>
                <w:color w:val="auto"/>
                <w:spacing w:val="0"/>
                <w:sz w:val="20"/>
                <w:szCs w:val="20"/>
              </w:rPr>
              <w:t>Badan hukum atau organisasi non-badan hukum yang didirikan secara sah dan beroperasi secara efektif di dalam atau luar negeri China, atau individu dengan kapasitas perdata penuh, dapat berpartisipasi dalam lelang. Pendaftaran konsorsium tidak diterima.</w:t>
            </w:r>
          </w:p>
        </w:tc>
      </w:tr>
      <w:tr w14:paraId="4872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50F44FD2">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Ketentuan Lain Terkait Transfer</w:t>
            </w:r>
          </w:p>
        </w:tc>
        <w:tc>
          <w:tcPr>
            <w:tcW w:w="7421" w:type="dxa"/>
            <w:gridSpan w:val="10"/>
            <w:noWrap w:val="0"/>
            <w:vAlign w:val="center"/>
          </w:tcPr>
          <w:p w14:paraId="4095CF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 xml:space="preserve">1. Pendaftaran harus membayar jaminan (lihat tabel di atas untuk jumlah spesifik), yang harus masuk ke </w:t>
            </w:r>
            <w:r>
              <w:rPr>
                <w:rFonts w:hint="eastAsia" w:hAnsi="Consolas" w:eastAsia="Consolas" w:cs="Consolas" w:asciiTheme="minorAscii"/>
                <w:b w:val="0"/>
                <w:bCs w:val="0"/>
                <w:caps w:val="0"/>
                <w:color w:val="auto"/>
                <w:spacing w:val="0"/>
                <w:sz w:val="20"/>
                <w:szCs w:val="20"/>
              </w:rPr>
              <w:t xml:space="preserve">rekening </w:t>
            </w:r>
            <w:r>
              <w:rPr>
                <w:rFonts w:hint="eastAsia" w:hAnsi="宋体" w:eastAsia="宋体" w:cs="宋体" w:asciiTheme="minorAscii"/>
                <w:b w:val="0"/>
                <w:bCs w:val="0"/>
                <w:color w:val="auto"/>
                <w:kern w:val="0"/>
                <w:sz w:val="20"/>
                <w:szCs w:val="20"/>
              </w:rPr>
              <w:t>yang ditentukan oleh Bursa Properti dalam periode pengumuman.</w:t>
            </w:r>
          </w:p>
          <w:p w14:paraId="5FB9BE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 xml:space="preserve">2. Setelah konfirmasi transaksi, Penerima Pengalihan harus menandatangani Konfirmasi Hasil Lelang Elektronik dengan Bursa Properti Hainan, dan menandatangani "Kontrak Transaksi Properti" dengan Pihak Pengalih dalam 5 hari kerja, serta membayar lunas seluruh harga </w:t>
            </w:r>
            <w:r>
              <w:rPr>
                <w:rFonts w:hint="eastAsia" w:hAnsi="Consolas" w:eastAsia="Consolas" w:cs="Consolas" w:asciiTheme="minorAscii"/>
                <w:b w:val="0"/>
                <w:bCs w:val="0"/>
                <w:caps w:val="0"/>
                <w:color w:val="auto"/>
                <w:spacing w:val="0"/>
                <w:sz w:val="20"/>
                <w:szCs w:val="20"/>
              </w:rPr>
              <w:t xml:space="preserve">transaksi </w:t>
            </w:r>
            <w:r>
              <w:rPr>
                <w:rFonts w:hint="eastAsia" w:hAnsi="宋体" w:eastAsia="宋体" w:cs="宋体" w:asciiTheme="minorAscii"/>
                <w:b w:val="0"/>
                <w:bCs w:val="0"/>
                <w:color w:val="auto"/>
                <w:kern w:val="0"/>
                <w:sz w:val="20"/>
                <w:szCs w:val="20"/>
              </w:rPr>
              <w:t>dan biaya layanan transaksi satu kali dalam 5 hari kerja sejak kontrak mulai berlaku. Jika tidak menandatangani kontrak dengan Pihak Pengalih dalam 5 hari kerja atau tidak membayar lunas seluruh harga transaksi dan biaya layanan transaksi dalam 5 hari kerja sejak kontrak mulai berlaku, akan dianggap wanprestasi, dan jaminan yang dibayarkan tidak akan dikembalikan.</w:t>
            </w:r>
          </w:p>
          <w:p w14:paraId="5FF7B5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宋体" w:eastAsia="宋体" w:cs="宋体" w:asciiTheme="minorAscii"/>
                <w:b w:val="0"/>
                <w:bCs w:val="0"/>
                <w:color w:val="auto"/>
                <w:kern w:val="0"/>
                <w:sz w:val="20"/>
                <w:szCs w:val="20"/>
              </w:rPr>
            </w:pPr>
            <w:r>
              <w:rPr>
                <w:rFonts w:hint="eastAsia" w:hAnsi="宋体" w:cs="宋体" w:asciiTheme="minorAscii"/>
                <w:b w:val="0"/>
                <w:bCs w:val="0"/>
                <w:color w:val="auto"/>
                <w:kern w:val="0"/>
                <w:sz w:val="20"/>
                <w:szCs w:val="20"/>
                <w:lang w:val="en-US" w:eastAsia="zh-CN"/>
              </w:rPr>
              <w:t>3.Informasi terkait proyek ini disediakan oleh Pihak Pengalih, Bursa ini tidak memberikan jaminan atau tanggung jawab hukum lainnya, Pihak Pengalih mentransfer aset sesuai dengan kondisi aset yang ada, peserta lelang yang mendaftar dianggap menerima kondisi yang ada.</w:t>
            </w:r>
          </w:p>
        </w:tc>
      </w:tr>
      <w:tr w14:paraId="5891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4B2B71C7">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Penyerahan Aset</w:t>
            </w:r>
          </w:p>
        </w:tc>
        <w:tc>
          <w:tcPr>
            <w:tcW w:w="7421" w:type="dxa"/>
            <w:gridSpan w:val="10"/>
            <w:noWrap w:val="0"/>
            <w:vAlign w:val="center"/>
          </w:tcPr>
          <w:p w14:paraId="08F1B5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lang w:val="en-US" w:eastAsia="zh-CN"/>
              </w:rPr>
            </w:pPr>
            <w:r>
              <w:rPr>
                <w:rFonts w:hint="eastAsia" w:hAnsi="宋体" w:eastAsia="宋体" w:cs="宋体" w:asciiTheme="minorAscii"/>
                <w:b w:val="0"/>
                <w:bCs w:val="0"/>
                <w:color w:val="auto"/>
                <w:kern w:val="0"/>
                <w:sz w:val="20"/>
                <w:szCs w:val="20"/>
                <w:lang w:val="en-US" w:eastAsia="zh-CN"/>
              </w:rPr>
              <w:t xml:space="preserve">1. Transfer ini dilakukan berdasarkan kondisi di lokasi. Penerima Pengalihan harus menyelesaikan prosedur penyerahan barang-barang ini dengan Pihak Pengalih dalam waktu 10 hari kerja setelah membayar lunas seluruh harga, biaya layanan transaksi, dan biaya terkait lainnya, serta mengangkut aset sesuai dengan ketentuan "Kontrak Transaksi Properti". Semua biaya dan </w:t>
            </w:r>
            <w:r>
              <w:rPr>
                <w:rFonts w:hint="eastAsia" w:hAnsi="Consolas" w:eastAsia="Consolas" w:cs="Consolas" w:asciiTheme="minorAscii"/>
                <w:b w:val="0"/>
                <w:bCs w:val="0"/>
                <w:caps w:val="0"/>
                <w:color w:val="auto"/>
                <w:spacing w:val="0"/>
                <w:sz w:val="20"/>
                <w:szCs w:val="20"/>
                <w:lang w:val="en-US" w:eastAsia="zh-CN"/>
              </w:rPr>
              <w:t xml:space="preserve">tanggung </w:t>
            </w:r>
            <w:r>
              <w:rPr>
                <w:rFonts w:hint="eastAsia" w:hAnsi="宋体" w:eastAsia="宋体" w:cs="宋体" w:asciiTheme="minorAscii"/>
                <w:b w:val="0"/>
                <w:bCs w:val="0"/>
                <w:color w:val="auto"/>
                <w:kern w:val="0"/>
                <w:sz w:val="20"/>
                <w:szCs w:val="20"/>
                <w:lang w:val="en-US" w:eastAsia="zh-CN"/>
              </w:rPr>
              <w:t>jawab terkait yang timbul setelah penyerahan, termasuk namun tidak terbatas pada biaya dan tanggung jawab terkait penyimpanan, pembongkaran, transportasi, serta risiko kerusakan atau kehilangan barang, akan ditanggung oleh Penerima Pengalihan.</w:t>
            </w:r>
          </w:p>
          <w:p w14:paraId="4564E0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lang w:val="en-US" w:eastAsia="zh-CN" w:bidi="ar-SA"/>
              </w:rPr>
            </w:pPr>
            <w:r>
              <w:rPr>
                <w:rFonts w:hint="eastAsia" w:hAnsi="宋体" w:eastAsia="宋体" w:cs="宋体" w:asciiTheme="minorAscii"/>
                <w:b w:val="0"/>
                <w:bCs w:val="0"/>
                <w:color w:val="auto"/>
                <w:kern w:val="0"/>
                <w:sz w:val="20"/>
                <w:szCs w:val="20"/>
                <w:lang w:val="en-US" w:eastAsia="zh-CN" w:bidi="ar-SA"/>
              </w:rPr>
              <w:t xml:space="preserve">2. Setelah prosedur penyerahan selesai, Penerima Pengalihan harus memindahkan semua aset yang ditransfer dalam waktu 10 hari kerja. Jika keterlambatan pekerjaan pembongkaran dan transportasi </w:t>
            </w:r>
            <w:r>
              <w:rPr>
                <w:rFonts w:hint="eastAsia" w:hAnsi="Consolas" w:eastAsia="Consolas" w:cs="Consolas" w:asciiTheme="minorAscii"/>
                <w:b w:val="0"/>
                <w:bCs w:val="0"/>
                <w:caps w:val="0"/>
                <w:color w:val="auto"/>
                <w:spacing w:val="0"/>
                <w:sz w:val="20"/>
                <w:szCs w:val="20"/>
                <w:lang w:val="en-US" w:eastAsia="zh-CN"/>
              </w:rPr>
              <w:t xml:space="preserve">oleh </w:t>
            </w:r>
            <w:r>
              <w:rPr>
                <w:rFonts w:hint="eastAsia" w:hAnsi="宋体" w:eastAsia="宋体" w:cs="宋体" w:asciiTheme="minorAscii"/>
                <w:b w:val="0"/>
                <w:bCs w:val="0"/>
                <w:color w:val="auto"/>
                <w:kern w:val="0"/>
                <w:sz w:val="20"/>
                <w:szCs w:val="20"/>
                <w:lang w:val="en-US" w:eastAsia="zh-CN" w:bidi="ar-SA"/>
              </w:rPr>
              <w:t>Penerima Pengalihan benar-benar disebabkan oleh alasan dari Pihak Pengalih, jangka waktu penyerahan dapat diperpanjang secara wajar setelah mendapat persetujuan dari Pihak Pengalih. Semua biaya yang dikeluarkan oleh Pihak Pengalih karena disposisi aset tersebut akan ditanggung oleh Penerima Pengalihan, dan Penerima Pengalihan menyetujui ini dan bersedia membayar secara sukarela.</w:t>
            </w:r>
          </w:p>
          <w:p w14:paraId="5F6265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lang w:eastAsia="zh-CN"/>
              </w:rPr>
            </w:pPr>
            <w:r>
              <w:rPr>
                <w:rFonts w:hint="eastAsia" w:hAnsi="宋体" w:eastAsia="宋体" w:cs="宋体" w:asciiTheme="minorAscii"/>
                <w:b w:val="0"/>
                <w:bCs w:val="0"/>
                <w:color w:val="auto"/>
                <w:kern w:val="0"/>
                <w:sz w:val="20"/>
                <w:szCs w:val="20"/>
                <w:lang w:eastAsia="zh-CN"/>
              </w:rPr>
              <w:t xml:space="preserve">3. Tanggung jawab terkait yang disebabkan oleh Penerima Pengalihan selama proses pembongkaran, </w:t>
            </w:r>
            <w:r>
              <w:rPr>
                <w:rFonts w:hint="eastAsia" w:hAnsi="Consolas" w:eastAsia="Consolas" w:cs="Consolas" w:asciiTheme="minorAscii"/>
                <w:b w:val="0"/>
                <w:bCs w:val="0"/>
                <w:caps w:val="0"/>
                <w:color w:val="auto"/>
                <w:spacing w:val="0"/>
                <w:sz w:val="20"/>
                <w:szCs w:val="20"/>
                <w:lang w:eastAsia="zh-CN"/>
              </w:rPr>
              <w:t>pemindahan</w:t>
            </w:r>
            <w:r>
              <w:rPr>
                <w:rFonts w:hint="eastAsia" w:hAnsi="宋体" w:eastAsia="宋体" w:cs="宋体" w:asciiTheme="minorAscii"/>
                <w:b w:val="0"/>
                <w:bCs w:val="0"/>
                <w:color w:val="auto"/>
                <w:kern w:val="0"/>
                <w:sz w:val="20"/>
                <w:szCs w:val="20"/>
                <w:lang w:eastAsia="zh-CN"/>
              </w:rPr>
              <w:t>, transportasi aset, termasuk namun tidak terbatas pada cedera personel, kerusakan bangunan, kerusakan peralatan, akan ditanggung oleh Penerima Pengalihan, dan harus mengganti kerugian yang sesuai yang ditimbulkan kepada Pihak Pengalih. Penerima Pengalihan berjanji untuk membayar kepada Pihak Pengalih atau menyelesaikan perbaikan sesuai dengan permintaan Pihak Pengalih dalam waktu tiga hari.</w:t>
            </w:r>
          </w:p>
          <w:p w14:paraId="5F92C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lang w:eastAsia="zh-CN"/>
              </w:rPr>
            </w:pPr>
            <w:r>
              <w:rPr>
                <w:rFonts w:hint="eastAsia" w:hAnsi="宋体" w:eastAsia="宋体" w:cs="宋体" w:asciiTheme="minorAscii"/>
                <w:b w:val="0"/>
                <w:bCs w:val="0"/>
                <w:color w:val="auto"/>
                <w:kern w:val="0"/>
                <w:sz w:val="20"/>
                <w:szCs w:val="20"/>
                <w:lang w:eastAsia="zh-CN"/>
              </w:rPr>
              <w:t>4. Hal-hal lain yang tidak diatur dalam ini akan dilaksanakan sesuai dengan ketentuan "Kontrak Transaksi Properti".</w:t>
            </w:r>
          </w:p>
        </w:tc>
      </w:tr>
      <w:tr w14:paraId="0A88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0491F977">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Harga Transaksi dan Jaminan</w:t>
            </w:r>
          </w:p>
        </w:tc>
        <w:tc>
          <w:tcPr>
            <w:tcW w:w="7421" w:type="dxa"/>
            <w:gridSpan w:val="10"/>
            <w:noWrap w:val="0"/>
            <w:vAlign w:val="center"/>
          </w:tcPr>
          <w:p w14:paraId="05E6C0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eastAsia" w:hAnsi="宋体" w:eastAsia="宋体" w:cs="宋体" w:asciiTheme="minorAscii"/>
                <w:b w:val="0"/>
                <w:bCs w:val="0"/>
                <w:color w:val="auto"/>
                <w:kern w:val="0"/>
                <w:sz w:val="20"/>
                <w:szCs w:val="20"/>
                <w:lang w:val="en-US" w:eastAsia="zh-CN" w:bidi="ar-SA"/>
              </w:rPr>
              <w:t xml:space="preserve">1. Pendaftaran </w:t>
            </w:r>
            <w:r>
              <w:rPr>
                <w:rFonts w:hint="eastAsia" w:hAnsi="Consolas" w:eastAsia="Consolas" w:cs="Consolas" w:asciiTheme="minorAscii"/>
                <w:b w:val="0"/>
                <w:bCs w:val="0"/>
                <w:caps w:val="0"/>
                <w:color w:val="auto"/>
                <w:spacing w:val="0"/>
                <w:sz w:val="20"/>
                <w:szCs w:val="20"/>
                <w:lang w:val="en-US" w:eastAsia="zh-CN"/>
              </w:rPr>
              <w:t xml:space="preserve">harus </w:t>
            </w:r>
            <w:r>
              <w:rPr>
                <w:rFonts w:hint="eastAsia" w:hAnsi="宋体" w:eastAsia="宋体" w:cs="宋体" w:asciiTheme="minorAscii"/>
                <w:b w:val="0"/>
                <w:bCs w:val="0"/>
                <w:color w:val="auto"/>
                <w:kern w:val="0"/>
                <w:sz w:val="20"/>
                <w:szCs w:val="20"/>
                <w:lang w:val="en-US" w:eastAsia="zh-CN" w:bidi="ar-SA"/>
              </w:rPr>
              <w:t xml:space="preserve">membayar jaminan lelang (harus masuk ke rekening yang ditentukan Bursa Properti sebelum pukul 17:00 pada tanggal Bulan Tahun 2026). Jaminan </w:t>
            </w:r>
            <w:r>
              <w:rPr>
                <w:rFonts w:hint="eastAsia" w:hAnsi="Consolas" w:eastAsia="Consolas" w:cs="Consolas" w:asciiTheme="minorAscii"/>
                <w:b w:val="0"/>
                <w:bCs w:val="0"/>
                <w:caps w:val="0"/>
                <w:color w:val="auto"/>
                <w:spacing w:val="0"/>
                <w:sz w:val="20"/>
                <w:szCs w:val="20"/>
                <w:lang w:val="en-US" w:eastAsia="zh-CN"/>
              </w:rPr>
              <w:t>dapat dibayarkan dalam Yuan RMB atau mata uang umum lainnya yang setara dengan Yuan RMB. Jika jaminan dibayarkan dalam mata uang asing, akan dihitung berdasarkan kurs tengah Yuan RMB di pasar valuta asing antar bank yang diumumkan oleh China Foreign Exchange Trade System yang diberi wewenang oleh Bank Rakyat China pada hari pembayaran dalam periode pengumuman, jumlah Yuan RMB setelah konversi tidak boleh kurang dari jumlah jaminan dalam Yuan RMB.</w:t>
            </w:r>
          </w:p>
          <w:p w14:paraId="073054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lang w:val="en-US" w:eastAsia="zh-CN"/>
              </w:rPr>
              <w:t>2. Menandatangani "Kontrak Transaksi Properti" dalam 5 hari kerja setelah dikonfirmasi sebagai Penerima Pengalihan, dan membayar lunas seluruh harga transaksi dan biaya layanan transaksi satu kali dalam 5 hari kerja sejak kontrak mulai berlaku. Jika tidak menandatangani kontrak dengan Pihak Pengalih dalam 5 hari kerja atau tidak membayar lunas seluruh harga transaksi dan biaya layanan transaksi dalam 5 hari kerja sejak kontrak mulai berlaku, akan dianggap wanprestasi, dan jaminan yang dibayarkan tidak akan dikembalikan.</w:t>
            </w:r>
          </w:p>
          <w:p w14:paraId="28FCF6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lang w:val="en-US" w:eastAsia="zh-CN"/>
              </w:rPr>
              <w:t>3. Setelah transaksi, Penerima Pengalihan dapat memilih untuk membayar harga transaksi dan biaya layanan transaksi dalam Yuan RMB atau mata uang umum lainnya yang setara dengan Yuan RMB.</w:t>
            </w:r>
          </w:p>
          <w:p w14:paraId="20D79F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lang w:val="en-US" w:eastAsia="zh-CN"/>
              </w:rPr>
              <w:t>(1) Jika menggunakan penyelesaian dalam Yuan RMB, harga transaksi dan biaya layanan transaksi dapat dibayarkan langsung ke rekening penyelesaian Yuan RMB yang ditentukan oleh Bursa Properti Hainan.</w:t>
            </w:r>
          </w:p>
          <w:p w14:paraId="212E88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lang w:val="en-US" w:eastAsia="zh-CN"/>
              </w:rPr>
              <w:t>(2) Jika membayar dalam mata uang asing, harga transaksi dapat dibayarkan langsung ke rekening yang ditentukan oleh Pihak Pengalih, dan biaya layanan transaksi dibayarkan ke rekening penyelesaian Yuan RMB dan rekening penyelesaian Dolar AS yang ditentukan oleh Bursa Properti Hainan. Dihitung berdasarkan kurs tengah Yuan RMB di pasar valuta asing antar bank pada hari lelang yang diumumkan oleh China Foreign Exchange Trade System yang diberi wewenang oleh Bank Rakyat China, jumlah Yuan RMB setelah konversi tidak boleh kurang dari jumlah Yuan RMB dari penawaran tertinggi dan jumlah Yuan RMB dari biaya layanan transaksi yang dihitung berdasarkan penawaran tertinggi.</w:t>
            </w:r>
          </w:p>
          <w:p w14:paraId="3FEF9B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4. Rekening Penyelesaian Bursa Properti Hainan:</w:t>
            </w:r>
          </w:p>
          <w:p w14:paraId="436A5F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(1) Rekening Penyelesaian Jaminan Luar Negeri (Hanya untuk penerimaan dan pembayaran jaminan lintas batas, dapat menerima Yuan RMB, Dolar AS):</w:t>
            </w:r>
          </w:p>
          <w:p w14:paraId="104174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Nama Rekening: Hainan Property Rights Exchange Co., Ltd.</w:t>
            </w:r>
          </w:p>
          <w:p w14:paraId="6AAE3A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lang w:val="en-US" w:eastAsia="zh-CN"/>
              </w:rPr>
              <w:t>Bank Penerima: Industrial and Commercial Bank of China, Hainan Provincial Branch, Business Department</w:t>
            </w:r>
          </w:p>
          <w:p w14:paraId="659BA2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lang w:val="en-US" w:eastAsia="zh-CN"/>
              </w:rPr>
              <w:t>Nomor Rekening: EFE 4521 0215 2900 0012 573</w:t>
            </w:r>
          </w:p>
          <w:p w14:paraId="557D5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lang w:eastAsia="zh-CN"/>
              </w:rPr>
              <w:t>（</w:t>
            </w:r>
            <w:r>
              <w:rPr>
                <w:rFonts w:hint="eastAsia" w:hAnsi="Consolas" w:eastAsia="Consolas" w:cs="Consolas" w:asciiTheme="minorAscii"/>
                <w:b w:val="0"/>
                <w:bCs w:val="0"/>
                <w:caps w:val="0"/>
                <w:color w:val="auto"/>
                <w:spacing w:val="0"/>
                <w:sz w:val="20"/>
                <w:szCs w:val="20"/>
                <w:lang w:val="en-US" w:eastAsia="zh-CN"/>
              </w:rPr>
              <w:t>2</w:t>
            </w:r>
            <w:r>
              <w:rPr>
                <w:rFonts w:hint="eastAsia" w:hAnsi="Consolas" w:eastAsia="Consolas" w:cs="Consolas" w:asciiTheme="minorAscii"/>
                <w:b w:val="0"/>
                <w:bCs w:val="0"/>
                <w:caps w:val="0"/>
                <w:color w:val="auto"/>
                <w:spacing w:val="0"/>
                <w:sz w:val="20"/>
                <w:szCs w:val="20"/>
                <w:lang w:eastAsia="zh-CN"/>
              </w:rPr>
              <w:t>）</w:t>
            </w:r>
            <w:r>
              <w:rPr>
                <w:rFonts w:hint="eastAsia" w:hAnsi="Consolas" w:eastAsia="Consolas" w:cs="Consolas" w:asciiTheme="minorAscii"/>
                <w:b w:val="0"/>
                <w:bCs w:val="0"/>
                <w:caps w:val="0"/>
                <w:color w:val="auto"/>
                <w:spacing w:val="0"/>
                <w:sz w:val="20"/>
                <w:szCs w:val="20"/>
              </w:rPr>
              <w:t>Rekening Penyelesaian Yuan RMB (Hanya untuk penerimaan jaminan domestik dan harga transaksi, penerimaan dan pembayaran biaya layanan transaksi di dalam dan luar negeri):</w:t>
            </w:r>
            <w:r>
              <w:rPr>
                <w:rFonts w:hint="eastAsia" w:hAnsi="Consolas" w:eastAsia="Consolas" w:cs="Consolas" w:asciiTheme="minorAscii"/>
                <w:b w:val="0"/>
                <w:bCs w:val="0"/>
                <w:caps w:val="0"/>
                <w:color w:val="auto"/>
                <w:spacing w:val="0"/>
                <w:sz w:val="20"/>
                <w:szCs w:val="20"/>
              </w:rPr>
              <w:br w:type="textWrapping"/>
            </w:r>
            <w:r>
              <w:rPr>
                <w:rFonts w:hint="eastAsia" w:hAnsi="Consolas" w:eastAsia="Consolas" w:cs="Consolas" w:asciiTheme="minorAscii"/>
                <w:b w:val="0"/>
                <w:bCs w:val="0"/>
                <w:caps w:val="0"/>
                <w:color w:val="auto"/>
                <w:spacing w:val="0"/>
                <w:sz w:val="20"/>
                <w:szCs w:val="20"/>
              </w:rPr>
              <w:t>Nama Rekening: Hainan Property Rights Exchange Co., Ltd.</w:t>
            </w:r>
          </w:p>
          <w:p w14:paraId="3365DB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Bank Penerima: Industrial and Commercial Bank of China, Hainan Provincial Branch, Business Department</w:t>
            </w:r>
          </w:p>
          <w:p w14:paraId="0A900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Nomor Rekening: 2201 0215 1920 0214 669</w:t>
            </w:r>
          </w:p>
          <w:p w14:paraId="348BB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lang w:val="en-US" w:eastAsia="zh-CN"/>
              </w:rPr>
              <w:t>（3）Rekening Penyelesaian Dolar AS (Hanya untuk penerimaan biaya layanan transaksi lintas batas)</w:t>
            </w:r>
          </w:p>
          <w:p w14:paraId="592D99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Nama Rekening: Hainan Property Rights Exchange Co., Ltd.</w:t>
            </w:r>
          </w:p>
          <w:p w14:paraId="30A7AD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rPr>
            </w:pPr>
            <w:r>
              <w:rPr>
                <w:rFonts w:hint="eastAsia" w:hAnsi="Consolas" w:eastAsia="Consolas" w:cs="Consolas" w:asciiTheme="minorAscii"/>
                <w:b w:val="0"/>
                <w:bCs w:val="0"/>
                <w:caps w:val="0"/>
                <w:color w:val="auto"/>
                <w:spacing w:val="0"/>
                <w:sz w:val="20"/>
                <w:szCs w:val="20"/>
              </w:rPr>
              <w:t>Bank Penerima: Industrial and Commercial Bank of China, Hainan Provincial Branch, Business Department</w:t>
            </w:r>
          </w:p>
          <w:p w14:paraId="6DCB1A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eastAsia" w:hAnsi="Consolas" w:eastAsia="Consolas" w:cs="Consolas" w:asciiTheme="minorAscii"/>
                <w:b w:val="0"/>
                <w:bCs w:val="0"/>
                <w:caps w:val="0"/>
                <w:color w:val="auto"/>
                <w:spacing w:val="0"/>
                <w:sz w:val="20"/>
                <w:szCs w:val="20"/>
              </w:rPr>
              <w:t>Nomor Rekening: 2201 0215 1920</w:t>
            </w:r>
            <w:r>
              <w:rPr>
                <w:rFonts w:hint="eastAsia" w:hAnsi="Consolas" w:eastAsia="Consolas" w:cs="Consolas" w:asciiTheme="minorAscii"/>
                <w:b w:val="0"/>
                <w:bCs w:val="0"/>
                <w:caps w:val="0"/>
                <w:color w:val="auto"/>
                <w:spacing w:val="0"/>
                <w:sz w:val="20"/>
                <w:szCs w:val="20"/>
                <w:lang w:val="en-US" w:eastAsia="zh-CN"/>
              </w:rPr>
              <w:t xml:space="preserve"> 0722 482</w:t>
            </w:r>
          </w:p>
          <w:p w14:paraId="168F5B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asciiTheme="minorAscii"/>
                <w:b w:val="0"/>
                <w:bCs w:val="0"/>
                <w:color w:val="auto"/>
                <w:sz w:val="20"/>
                <w:szCs w:val="20"/>
                <w:lang w:val="en-US"/>
              </w:rPr>
            </w:pPr>
            <w:r>
              <w:rPr>
                <w:rFonts w:hint="eastAsia" w:hAnsi="Consolas" w:eastAsia="Consolas" w:cs="Consolas" w:asciiTheme="minorAscii"/>
                <w:b w:val="0"/>
                <w:bCs w:val="0"/>
                <w:caps w:val="0"/>
                <w:color w:val="auto"/>
                <w:spacing w:val="0"/>
                <w:sz w:val="20"/>
                <w:szCs w:val="20"/>
              </w:rPr>
              <w:t>Kode SWIFT</w:t>
            </w:r>
            <w:r>
              <w:rPr>
                <w:rFonts w:hint="eastAsia" w:hAnsi="Consolas" w:eastAsia="Consolas" w:cs="Consolas" w:asciiTheme="minorAscii"/>
                <w:b w:val="0"/>
                <w:bCs w:val="0"/>
                <w:caps w:val="0"/>
                <w:color w:val="auto"/>
                <w:spacing w:val="0"/>
                <w:sz w:val="20"/>
                <w:szCs w:val="20"/>
                <w:lang w:val="en-US" w:eastAsia="zh-CN"/>
              </w:rPr>
              <w:t xml:space="preserve">: </w:t>
            </w:r>
            <w:r>
              <w:rPr>
                <w:rFonts w:hint="eastAsia" w:hAnsi="Consolas" w:eastAsia="Consolas" w:cs="Consolas" w:asciiTheme="minorAscii"/>
                <w:b w:val="0"/>
                <w:bCs w:val="0"/>
                <w:caps w:val="0"/>
                <w:color w:val="auto"/>
                <w:spacing w:val="0"/>
                <w:sz w:val="20"/>
                <w:szCs w:val="20"/>
                <w:lang w:eastAsia="zh-CN"/>
              </w:rPr>
              <w:t>ICBKCNBJHNP</w:t>
            </w:r>
          </w:p>
        </w:tc>
      </w:tr>
      <w:tr w14:paraId="2D81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11"/>
            <w:noWrap w:val="0"/>
            <w:vAlign w:val="center"/>
          </w:tcPr>
          <w:p w14:paraId="0B2878D1">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bCs/>
                <w:color w:val="auto"/>
                <w:kern w:val="0"/>
                <w:sz w:val="20"/>
                <w:szCs w:val="20"/>
              </w:rPr>
              <w:t>Aturan Lelang dan Prosedur Pendaftaran</w:t>
            </w:r>
          </w:p>
        </w:tc>
      </w:tr>
      <w:tr w14:paraId="45DE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30A4ACC3">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lang w:val="en-US" w:eastAsia="zh-CN"/>
              </w:rPr>
              <w:t>Aturan Lelang</w:t>
            </w:r>
          </w:p>
        </w:tc>
        <w:tc>
          <w:tcPr>
            <w:tcW w:w="7421" w:type="dxa"/>
            <w:gridSpan w:val="10"/>
            <w:noWrap w:val="0"/>
            <w:vAlign w:val="center"/>
          </w:tcPr>
          <w:p w14:paraId="4811C6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1. Proyek ini menggunakan metode lelang online untuk mengatur transaksi, penawar tertinggi akan menang. Jika hanya ada satu peserta lelang yang mengikuti lelang, maka peserta lelang tersebut akan memenangkan lelang setelah menawar tidak kurang dari harga dasar penawaran.</w:t>
            </w:r>
          </w:p>
          <w:p w14:paraId="75B76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2. Setelah kualifikasi penerima pengalihan disetujui melalui verifikasi, peserta lelang menggunakan akun login lelang dan kata sandi yang dikirim melalui SMS oleh sistem E-Trading untuk masuk ke sistem penawaran E-Trading dalam waktu yang ditentukan untuk melakukan lelang dan harus mengajukan harga yang sah. Pembeli ditentukan berdasarkan prinsip prioritas harga dan prioritas waktu.</w:t>
            </w:r>
          </w:p>
          <w:p w14:paraId="083A0B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3. Setelah transaksi, Penerima Pengalihan membawa bukti kualifikasi entitas, "Formulir Permohonan Pengalihan Properti", "Aturan Lelang Online" dan materi terkait ke Bursa untuk menyelesaikan prosedur konfirmasi transaksi, menandatangani surat konfirmasi lelang, dan memenuhi tanggung jawab yang ditentukan dalam pengumuman ini.</w:t>
            </w:r>
          </w:p>
          <w:p w14:paraId="222936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4. Peserta lelang sebelum lelang harus mematuhi peraturan transaksi Bursa Properti Hainan, "Aturan Transaksi Lelang Platform e-Trading", "Panduan Operasi Transaksi Properti Platform e-Trading" dan persyaratan lainnya, memahami kondisi aset, kualifikasi lelang, pendaftaran, pembayaran jaminan, operasi lelang, dan metode pembayaran dana, dll.</w:t>
            </w:r>
          </w:p>
          <w:p w14:paraId="3052F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5. Peringatan penting: Harap peserta lelang memilih lingkungan internet yang baik, pastikan perangkat terminal berjalan dengan baik dan jaringan normal (disarankan menggunakan jaringan kabel, terminal komputer desktop). Sistem lelang ini tidak mendukung beberapa perangkat masuk dengan akun yang sama untuk lelang secara bersamaan. Jangan melakukan operasi yang tidak terkait dengan proses lelang. Selama proses lelang, harap tutup perangkat lunak aplikasi lain yang tidak terkait dengan lelang ini dan dapat mempengaruhi operasi lelang online.</w:t>
            </w:r>
          </w:p>
        </w:tc>
      </w:tr>
      <w:tr w14:paraId="3009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357300AB">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Pameran Lapangan</w:t>
            </w:r>
          </w:p>
        </w:tc>
        <w:tc>
          <w:tcPr>
            <w:tcW w:w="7421" w:type="dxa"/>
            <w:gridSpan w:val="10"/>
            <w:noWrap w:val="0"/>
            <w:vAlign w:val="center"/>
          </w:tcPr>
          <w:p w14:paraId="5AB3D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1. Waktu: Dalam periode pengumuman</w:t>
            </w:r>
          </w:p>
          <w:p w14:paraId="5AC798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宋体" w:cs="宋体" w:asciiTheme="minorAscii"/>
                <w:b w:val="0"/>
                <w:bCs w:val="0"/>
                <w:color w:val="auto"/>
                <w:kern w:val="0"/>
                <w:sz w:val="20"/>
                <w:szCs w:val="20"/>
                <w:lang w:val="en-US" w:eastAsia="zh-CN"/>
              </w:rPr>
            </w:pPr>
            <w:r>
              <w:rPr>
                <w:rFonts w:hint="default" w:hAnsi="Consolas" w:eastAsia="Consolas" w:cs="Consolas" w:asciiTheme="minorAscii"/>
                <w:b w:val="0"/>
                <w:bCs w:val="0"/>
                <w:caps w:val="0"/>
                <w:color w:val="auto"/>
                <w:spacing w:val="0"/>
                <w:sz w:val="20"/>
                <w:szCs w:val="20"/>
              </w:rPr>
              <w:t>2. Lokasi: Indonesia</w:t>
            </w:r>
          </w:p>
        </w:tc>
      </w:tr>
      <w:tr w14:paraId="0C99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4E946B76">
            <w:pPr>
              <w:widowControl/>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Waktu Pendaftaran</w:t>
            </w:r>
          </w:p>
        </w:tc>
        <w:tc>
          <w:tcPr>
            <w:tcW w:w="7421" w:type="dxa"/>
            <w:gridSpan w:val="10"/>
            <w:noWrap w:val="0"/>
            <w:vAlign w:val="center"/>
          </w:tcPr>
          <w:p w14:paraId="6B84E6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Dari tanggal pengumuman hingga pukul 17:00 pada tanggal terakhir siklus pencatatan</w:t>
            </w:r>
          </w:p>
        </w:tc>
      </w:tr>
      <w:tr w14:paraId="709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4ECF6E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Prosedur Pendaftaran</w:t>
            </w:r>
          </w:p>
        </w:tc>
        <w:tc>
          <w:tcPr>
            <w:tcW w:w="7421" w:type="dxa"/>
            <w:gridSpan w:val="10"/>
            <w:noWrap w:val="0"/>
            <w:vAlign w:val="center"/>
          </w:tcPr>
          <w:p w14:paraId="7B31D7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Pihak yang berminat harus menyerahkan dokumen pendaftaran sebelum pukul 17:00 pada tanggal Bulan Tahun 2026, dan masuk ke area E-Trading di situs web Bursa (www.hncq.cn) untuk mendaftar sebagai anggota dan melakukan pendaftaran. Saat mendaftar, harus mengunduh dan mengunggah foto atau pindaian dari materi pendaftaran seperti "Formulir Permohonan Pengalihan Properti", "Aturan Lelang Online", dokumen bukti kualifikasi entitas, dll., dan menggunakan akun e-trading terdaftar untuk mentransfer jaminan ke rekening yang ditentukan oleh Bursa Properti Hainan (berlaku saat dana diterima).</w:t>
            </w:r>
          </w:p>
          <w:p w14:paraId="479AD3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Dokumen berikut harus diserahkan untuk pendaftaran:</w:t>
            </w:r>
          </w:p>
          <w:p w14:paraId="3DADFB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1. "Formulir Permohonan Pengalihan Properti", "Aturan Lelang Online" (lihat lampiran);</w:t>
            </w:r>
          </w:p>
          <w:p w14:paraId="6D6CF6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default" w:hAnsi="Consolas" w:eastAsia="Consolas" w:cs="Consolas" w:asciiTheme="minorAscii"/>
                <w:b w:val="0"/>
                <w:bCs w:val="0"/>
                <w:caps w:val="0"/>
                <w:color w:val="auto"/>
                <w:spacing w:val="0"/>
                <w:sz w:val="20"/>
                <w:szCs w:val="20"/>
              </w:rPr>
              <w:t>2. Surat Izin Usaha, Sertifikat Kode Organisasi, KTP Direktur Utama, dll. bukti kualifikasi entitas (fotokopi)</w:t>
            </w:r>
            <w:r>
              <w:rPr>
                <w:rFonts w:hint="eastAsia" w:hAnsi="Consolas" w:eastAsia="Consolas" w:cs="Consolas" w:asciiTheme="minorAscii"/>
                <w:b w:val="0"/>
                <w:bCs w:val="0"/>
                <w:caps w:val="0"/>
                <w:color w:val="auto"/>
                <w:spacing w:val="0"/>
                <w:sz w:val="20"/>
                <w:szCs w:val="20"/>
                <w:lang w:val="en-US" w:eastAsia="zh-CN"/>
              </w:rPr>
              <w:t>;</w:t>
            </w:r>
          </w:p>
          <w:p w14:paraId="74EE16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3. Surat Kuasa asli dan KTP kuasa usaha (fotokopi);</w:t>
            </w:r>
          </w:p>
          <w:p w14:paraId="6B288D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Consolas" w:eastAsia="Consolas" w:cs="Consolas" w:asciiTheme="minorAscii"/>
                <w:b w:val="0"/>
                <w:bCs w:val="0"/>
                <w:caps w:val="0"/>
                <w:color w:val="auto"/>
                <w:spacing w:val="0"/>
                <w:sz w:val="20"/>
                <w:szCs w:val="20"/>
                <w:lang w:val="en-US" w:eastAsia="zh-CN"/>
              </w:rPr>
            </w:pPr>
            <w:r>
              <w:rPr>
                <w:rFonts w:hint="default" w:hAnsi="Consolas" w:eastAsia="Consolas" w:cs="Consolas" w:asciiTheme="minorAscii"/>
                <w:b w:val="0"/>
                <w:bCs w:val="0"/>
                <w:caps w:val="0"/>
                <w:color w:val="auto"/>
                <w:spacing w:val="0"/>
                <w:sz w:val="20"/>
                <w:szCs w:val="20"/>
              </w:rPr>
              <w:t>4. Materi terkait lainnya</w:t>
            </w:r>
            <w:r>
              <w:rPr>
                <w:rFonts w:hint="eastAsia" w:hAnsi="Consolas" w:eastAsia="Consolas" w:cs="Consolas" w:asciiTheme="minorAscii"/>
                <w:b w:val="0"/>
                <w:bCs w:val="0"/>
                <w:caps w:val="0"/>
                <w:color w:val="auto"/>
                <w:spacing w:val="0"/>
                <w:sz w:val="20"/>
                <w:szCs w:val="20"/>
                <w:lang w:val="en-US" w:eastAsia="zh-CN"/>
              </w:rPr>
              <w:t>;</w:t>
            </w:r>
          </w:p>
          <w:p w14:paraId="73205B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Catatan: Semua yang disebutkan di atas yang menyediakan fotokopi harus diberi cap resmi (badan hukum) atau ditandatangani (individu).</w:t>
            </w:r>
          </w:p>
        </w:tc>
      </w:tr>
      <w:tr w14:paraId="0959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28EA2D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Jaminan dan Cara Penanganannya</w:t>
            </w:r>
          </w:p>
        </w:tc>
        <w:tc>
          <w:tcPr>
            <w:tcW w:w="7421" w:type="dxa"/>
            <w:gridSpan w:val="10"/>
            <w:noWrap w:val="0"/>
            <w:vAlign w:val="center"/>
          </w:tcPr>
          <w:p w14:paraId="5414EA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1. Jaminan lelang dari Penerima Pengalihan yang berhasil membeli akan dikembalikan tanpa bunga sesuai dengan jumlah mata uang pembayaran awal melalui jalur yang sama dalam waktu 10 hari kerja setelah Penerima Pengalihan membayar harga transaksi, biaya layanan transaksi, dan biaya terkait lainnya. Jaminan peserta lelang yang tidak berhasil akan dikembalikan tanpa bunga sesuai dengan jumlah mata uang pembayaran awal melalui jalur yang sama dalam waktu 5 hari kerja setelah transaksi.</w:t>
            </w:r>
          </w:p>
          <w:p w14:paraId="75ABD0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2. Jika Pihak yang berminat memiliki salah satu situasi berikut, akan dianggap wanprestasi, dan jaminan lelang yang dibayarkan akan dipotong sebagai kompensasi (kecuali dalam keadaan force majeure atau alasan dari Pihak Pengalih):</w:t>
            </w:r>
          </w:p>
          <w:p w14:paraId="3DE4A2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(1) Pihak yang berminat mengajukan permohonan pengalihan dan kemudian secara sepihak menarik permohonan tersebut setelah kualifikasi dikonfirmasi;</w:t>
            </w:r>
          </w:p>
          <w:p w14:paraId="1AA96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(2) Ketika ada 1 atau lebih Pihak yang berminat memenuhi syarat, tetapi tidak berpartisipasi dalam prosedur lelang online berikutnya;</w:t>
            </w:r>
          </w:p>
          <w:p w14:paraId="18C55B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(3) Dalam prosedur lelang online, semua pihak yang berminat termasuk pihak yang berminat tidak mengajukan penawaran;</w:t>
            </w:r>
          </w:p>
          <w:p w14:paraId="65F59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(4) Menolak menandatangani surat konfirmasi lelang setelah berhasil memenangkan lelang;</w:t>
            </w:r>
          </w:p>
          <w:p w14:paraId="29EA12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(5) Tidak menandatangani "Kontrak Transaksi Properti" dengan Pihak Pengalih dalam waktu yang ditentukan;</w:t>
            </w:r>
          </w:p>
          <w:p w14:paraId="7FF0CA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(6) Tidak membayar harga transaksi sesuai dengan ketentuan "Kontrak Transaksi Properti";</w:t>
            </w:r>
          </w:p>
          <w:p w14:paraId="52A388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(7) Pihak yang berminat memberikan dokumen palsu atau menyembunyikan fakta dan berhasil memenangkan lelang.</w:t>
            </w:r>
          </w:p>
        </w:tc>
      </w:tr>
      <w:tr w14:paraId="7820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01" w:type="dxa"/>
            <w:noWrap w:val="0"/>
            <w:vAlign w:val="center"/>
          </w:tcPr>
          <w:p w14:paraId="6B7476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center"/>
              <w:rPr>
                <w:rFonts w:hAnsi="宋体" w:eastAsia="宋体" w:cs="宋体" w:asciiTheme="minorAscii"/>
                <w:b w:val="0"/>
                <w:bCs w:val="0"/>
                <w:color w:val="auto"/>
                <w:kern w:val="0"/>
                <w:sz w:val="20"/>
                <w:szCs w:val="20"/>
              </w:rPr>
            </w:pPr>
            <w:r>
              <w:rPr>
                <w:rFonts w:hint="default" w:hAnsi="Consolas" w:eastAsia="Consolas" w:cs="Consolas" w:asciiTheme="minorAscii"/>
                <w:b w:val="0"/>
                <w:bCs w:val="0"/>
                <w:caps w:val="0"/>
                <w:color w:val="auto"/>
                <w:spacing w:val="0"/>
                <w:sz w:val="20"/>
                <w:szCs w:val="20"/>
              </w:rPr>
              <w:t>Biaya Layanan</w:t>
            </w:r>
          </w:p>
        </w:tc>
        <w:tc>
          <w:tcPr>
            <w:tcW w:w="7421" w:type="dxa"/>
            <w:gridSpan w:val="10"/>
            <w:noWrap w:val="0"/>
            <w:vAlign w:val="center"/>
          </w:tcPr>
          <w:p w14:paraId="599DCF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eastAsia" w:hAnsi="宋体" w:eastAsia="宋体" w:cs="宋体" w:asciiTheme="minorAscii"/>
                <w:b w:val="0"/>
                <w:bCs w:val="0"/>
                <w:color w:val="auto"/>
                <w:kern w:val="0"/>
                <w:sz w:val="20"/>
                <w:szCs w:val="20"/>
                <w:lang w:eastAsia="zh-CN"/>
              </w:rPr>
            </w:pPr>
            <w:r>
              <w:rPr>
                <w:rFonts w:hint="eastAsia" w:hAnsi="宋体" w:eastAsia="宋体" w:cs="宋体" w:asciiTheme="minorAscii"/>
                <w:b w:val="0"/>
                <w:bCs w:val="0"/>
                <w:color w:val="auto"/>
                <w:kern w:val="0"/>
                <w:sz w:val="20"/>
                <w:szCs w:val="20"/>
                <w:lang w:eastAsia="zh-CN"/>
              </w:rPr>
              <w:t>Penerima Transfer proyek ini harus membayar biaya layanan transaksi sebesar 1% dari jumlah transaksi kepada Hainan Property Rights Exchange Co., Ltd., dan juga membayar biaya layanan transaksi sebesar 4% dari jumlah transaksi kepada Great Wall Drilling Engineering Company Limited. (Biaya layanan minimal tidak kurang dari 500 RMB. Bursa Hak Milik Hainan dan Great Wall Drilling Engineering Company Limited masing-masing akan menerbitkan faktur biaya layanan sesuai jumlah tersebut kepada Penerima Transfer.)</w:t>
            </w:r>
          </w:p>
        </w:tc>
      </w:tr>
      <w:tr w14:paraId="0EC0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8522" w:type="dxa"/>
            <w:gridSpan w:val="11"/>
            <w:noWrap w:val="0"/>
            <w:vAlign w:val="center"/>
          </w:tcPr>
          <w:p w14:paraId="307E76DD">
            <w:pPr>
              <w:jc w:val="center"/>
              <w:rPr>
                <w:rFonts w:asciiTheme="minorAscii"/>
                <w:b w:val="0"/>
                <w:bCs w:val="0"/>
                <w:color w:val="auto"/>
                <w:sz w:val="20"/>
                <w:szCs w:val="20"/>
              </w:rPr>
            </w:pPr>
            <w:r>
              <w:rPr>
                <w:rFonts w:hint="eastAsia" w:asciiTheme="minorAscii"/>
                <w:b/>
                <w:bCs/>
                <w:color w:val="auto"/>
                <w:sz w:val="20"/>
                <w:szCs w:val="20"/>
              </w:rPr>
              <w:t>Jadwal Lelang</w:t>
            </w:r>
          </w:p>
        </w:tc>
      </w:tr>
      <w:tr w14:paraId="3F26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01" w:type="dxa"/>
            <w:noWrap w:val="0"/>
            <w:vAlign w:val="center"/>
          </w:tcPr>
          <w:p w14:paraId="45A723B8">
            <w:pPr>
              <w:jc w:val="center"/>
              <w:rPr>
                <w:rFonts w:asciiTheme="minorAscii"/>
                <w:b w:val="0"/>
                <w:bCs w:val="0"/>
                <w:color w:val="auto"/>
                <w:sz w:val="20"/>
                <w:szCs w:val="20"/>
              </w:rPr>
            </w:pPr>
            <w:r>
              <w:rPr>
                <w:rFonts w:hint="eastAsia" w:asciiTheme="minorAscii"/>
                <w:b w:val="0"/>
                <w:bCs w:val="0"/>
                <w:color w:val="auto"/>
                <w:sz w:val="20"/>
                <w:szCs w:val="20"/>
              </w:rPr>
              <w:t>No.</w:t>
            </w:r>
          </w:p>
        </w:tc>
        <w:tc>
          <w:tcPr>
            <w:tcW w:w="2251" w:type="dxa"/>
            <w:gridSpan w:val="2"/>
            <w:noWrap w:val="0"/>
            <w:vAlign w:val="center"/>
          </w:tcPr>
          <w:p w14:paraId="5E03A48F">
            <w:pPr>
              <w:jc w:val="center"/>
              <w:rPr>
                <w:rFonts w:asciiTheme="minorAscii"/>
                <w:b w:val="0"/>
                <w:bCs w:val="0"/>
                <w:color w:val="auto"/>
                <w:sz w:val="20"/>
                <w:szCs w:val="20"/>
              </w:rPr>
            </w:pPr>
            <w:r>
              <w:rPr>
                <w:rFonts w:hint="eastAsia" w:asciiTheme="minorAscii"/>
                <w:b w:val="0"/>
                <w:bCs w:val="0"/>
                <w:color w:val="auto"/>
                <w:sz w:val="20"/>
                <w:szCs w:val="20"/>
              </w:rPr>
              <w:t>Nama Aset</w:t>
            </w:r>
          </w:p>
        </w:tc>
        <w:tc>
          <w:tcPr>
            <w:tcW w:w="1495" w:type="dxa"/>
            <w:gridSpan w:val="2"/>
            <w:noWrap w:val="0"/>
            <w:vAlign w:val="center"/>
          </w:tcPr>
          <w:p w14:paraId="3E1B6D37">
            <w:pPr>
              <w:jc w:val="center"/>
              <w:rPr>
                <w:rFonts w:hint="eastAsia" w:eastAsia="宋体" w:asciiTheme="minorAscii"/>
                <w:b w:val="0"/>
                <w:bCs w:val="0"/>
                <w:color w:val="auto"/>
                <w:sz w:val="20"/>
                <w:szCs w:val="20"/>
                <w:lang w:eastAsia="zh-CN"/>
              </w:rPr>
            </w:pPr>
            <w:r>
              <w:rPr>
                <w:rFonts w:hint="eastAsia" w:asciiTheme="minorAscii"/>
                <w:b w:val="0"/>
                <w:bCs w:val="0"/>
                <w:color w:val="auto"/>
                <w:sz w:val="20"/>
                <w:szCs w:val="20"/>
              </w:rPr>
              <w:t>Waktu Mulai Lelang (Tahun 2026)</w:t>
            </w:r>
          </w:p>
        </w:tc>
        <w:tc>
          <w:tcPr>
            <w:tcW w:w="1782" w:type="dxa"/>
            <w:gridSpan w:val="3"/>
            <w:noWrap w:val="0"/>
            <w:vAlign w:val="center"/>
          </w:tcPr>
          <w:p w14:paraId="3D5E9C16">
            <w:pPr>
              <w:jc w:val="center"/>
              <w:rPr>
                <w:rFonts w:hint="eastAsia" w:eastAsia="宋体" w:asciiTheme="minorAscii"/>
                <w:b w:val="0"/>
                <w:bCs w:val="0"/>
                <w:color w:val="auto"/>
                <w:sz w:val="20"/>
                <w:szCs w:val="20"/>
                <w:lang w:eastAsia="zh-CN"/>
              </w:rPr>
            </w:pPr>
            <w:r>
              <w:rPr>
                <w:rFonts w:hint="eastAsia" w:asciiTheme="minorAscii"/>
                <w:b w:val="0"/>
                <w:bCs w:val="0"/>
                <w:color w:val="auto"/>
                <w:sz w:val="20"/>
                <w:szCs w:val="20"/>
              </w:rPr>
              <w:t>Waktu Mulai Lelang Terbatas</w:t>
            </w:r>
          </w:p>
        </w:tc>
        <w:tc>
          <w:tcPr>
            <w:tcW w:w="992" w:type="dxa"/>
            <w:gridSpan w:val="2"/>
            <w:noWrap w:val="0"/>
            <w:vAlign w:val="center"/>
          </w:tcPr>
          <w:p w14:paraId="4A0DF483">
            <w:pPr>
              <w:jc w:val="center"/>
              <w:rPr>
                <w:rFonts w:asciiTheme="minorAscii"/>
                <w:b w:val="0"/>
                <w:bCs w:val="0"/>
                <w:color w:val="auto"/>
                <w:sz w:val="20"/>
                <w:szCs w:val="20"/>
              </w:rPr>
            </w:pPr>
            <w:r>
              <w:rPr>
                <w:rFonts w:hint="eastAsia" w:asciiTheme="minorAscii"/>
                <w:b w:val="0"/>
                <w:bCs w:val="0"/>
                <w:color w:val="auto"/>
                <w:sz w:val="20"/>
                <w:szCs w:val="20"/>
              </w:rPr>
              <w:t>Kenaikan Penawaran</w:t>
            </w:r>
          </w:p>
        </w:tc>
        <w:tc>
          <w:tcPr>
            <w:tcW w:w="901" w:type="dxa"/>
            <w:noWrap w:val="0"/>
            <w:vAlign w:val="center"/>
          </w:tcPr>
          <w:p w14:paraId="59FD11C3">
            <w:pPr>
              <w:jc w:val="center"/>
              <w:rPr>
                <w:rFonts w:asciiTheme="minorAscii"/>
                <w:b w:val="0"/>
                <w:bCs w:val="0"/>
                <w:color w:val="auto"/>
                <w:sz w:val="20"/>
                <w:szCs w:val="20"/>
              </w:rPr>
            </w:pPr>
            <w:r>
              <w:rPr>
                <w:rFonts w:hint="eastAsia" w:asciiTheme="minorAscii"/>
                <w:b w:val="0"/>
                <w:bCs w:val="0"/>
                <w:color w:val="auto"/>
                <w:sz w:val="20"/>
                <w:szCs w:val="20"/>
              </w:rPr>
              <w:t>Siklus Lelang Perpanjangan Waktu</w:t>
            </w:r>
          </w:p>
        </w:tc>
      </w:tr>
      <w:tr w14:paraId="6C8F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01" w:type="dxa"/>
            <w:noWrap w:val="0"/>
            <w:vAlign w:val="center"/>
          </w:tcPr>
          <w:p w14:paraId="1F0BB86A">
            <w:pPr>
              <w:jc w:val="center"/>
              <w:rPr>
                <w:rFonts w:asciiTheme="minorAscii"/>
                <w:b w:val="0"/>
                <w:bCs w:val="0"/>
                <w:color w:val="auto"/>
                <w:sz w:val="20"/>
                <w:szCs w:val="20"/>
              </w:rPr>
            </w:pPr>
            <w:r>
              <w:rPr>
                <w:rFonts w:hint="eastAsia" w:asciiTheme="minorAscii"/>
                <w:b w:val="0"/>
                <w:bCs w:val="0"/>
                <w:color w:val="auto"/>
                <w:sz w:val="20"/>
                <w:szCs w:val="20"/>
              </w:rPr>
              <w:t>1</w:t>
            </w:r>
          </w:p>
        </w:tc>
        <w:tc>
          <w:tcPr>
            <w:tcW w:w="2251" w:type="dxa"/>
            <w:gridSpan w:val="2"/>
            <w:noWrap w:val="0"/>
            <w:vAlign w:val="center"/>
          </w:tcPr>
          <w:p w14:paraId="1FA8857D">
            <w:pPr>
              <w:widowControl/>
              <w:jc w:val="center"/>
              <w:rPr>
                <w:rFonts w:hAnsi="宋体" w:eastAsia="宋体" w:cs="宋体" w:asciiTheme="minorAscii"/>
                <w:b w:val="0"/>
                <w:bCs w:val="0"/>
                <w:color w:val="auto"/>
                <w:kern w:val="0"/>
                <w:sz w:val="20"/>
                <w:szCs w:val="20"/>
                <w:lang w:val="en-US" w:eastAsia="zh-CN" w:bidi="ar-SA"/>
              </w:rPr>
            </w:pPr>
            <w:r>
              <w:rPr>
                <w:rFonts w:hint="default" w:hAnsi="Consolas" w:eastAsia="Consolas" w:cs="Consolas" w:asciiTheme="minorAscii"/>
                <w:b w:val="0"/>
                <w:bCs w:val="0"/>
                <w:caps w:val="0"/>
                <w:color w:val="auto"/>
                <w:spacing w:val="0"/>
                <w:kern w:val="0"/>
                <w:sz w:val="20"/>
                <w:szCs w:val="20"/>
                <w:lang w:val="en-US" w:eastAsia="zh-CN" w:bidi="ar"/>
              </w:rPr>
              <w:t>Transfer Sejumlah Aset Afkir dari Proyek Indonesia CNPC Bohai Drilling Engineering Co., Ltd.</w:t>
            </w:r>
          </w:p>
        </w:tc>
        <w:tc>
          <w:tcPr>
            <w:tcW w:w="1495" w:type="dxa"/>
            <w:gridSpan w:val="2"/>
            <w:noWrap w:val="0"/>
            <w:vAlign w:val="center"/>
          </w:tcPr>
          <w:p w14:paraId="433D608A">
            <w:pPr>
              <w:jc w:val="center"/>
              <w:rPr>
                <w:rFonts w:hint="default" w:eastAsia="宋体" w:asciiTheme="minorAscii"/>
                <w:b w:val="0"/>
                <w:bCs w:val="0"/>
                <w:color w:val="auto"/>
                <w:sz w:val="20"/>
                <w:szCs w:val="20"/>
                <w:lang w:val="en-US" w:eastAsia="zh-CN"/>
              </w:rPr>
            </w:pPr>
            <w:r>
              <w:rPr>
                <w:rFonts w:hint="eastAsia" w:asciiTheme="minorAscii"/>
                <w:b w:val="0"/>
                <w:bCs w:val="0"/>
                <w:color w:val="auto"/>
                <w:sz w:val="20"/>
                <w:szCs w:val="20"/>
              </w:rPr>
              <w:t>9:00,</w:t>
            </w:r>
            <w:r>
              <w:rPr>
                <w:rFonts w:hint="eastAsia" w:asciiTheme="minorAscii"/>
                <w:b w:val="0"/>
                <w:bCs w:val="0"/>
                <w:color w:val="auto"/>
                <w:sz w:val="20"/>
                <w:szCs w:val="20"/>
                <w:lang w:val="en-US" w:eastAsia="zh-CN"/>
              </w:rPr>
              <w:t xml:space="preserve"> **/**/2026</w:t>
            </w:r>
          </w:p>
        </w:tc>
        <w:tc>
          <w:tcPr>
            <w:tcW w:w="1782" w:type="dxa"/>
            <w:gridSpan w:val="3"/>
            <w:noWrap w:val="0"/>
            <w:vAlign w:val="center"/>
          </w:tcPr>
          <w:p w14:paraId="420C0955">
            <w:pPr>
              <w:widowControl/>
              <w:jc w:val="center"/>
              <w:rPr>
                <w:rFonts w:hint="default" w:hAnsi="宋体" w:eastAsia="宋体" w:cs="宋体" w:asciiTheme="minorAscii"/>
                <w:b w:val="0"/>
                <w:bCs w:val="0"/>
                <w:color w:val="auto"/>
                <w:kern w:val="0"/>
                <w:sz w:val="20"/>
                <w:szCs w:val="20"/>
                <w:lang w:val="en-US"/>
              </w:rPr>
            </w:pPr>
            <w:r>
              <w:rPr>
                <w:rFonts w:hint="default" w:hAnsi="宋体" w:eastAsia="宋体" w:cs="宋体" w:asciiTheme="minorAscii"/>
                <w:b w:val="0"/>
                <w:bCs w:val="0"/>
                <w:color w:val="auto"/>
                <w:kern w:val="0"/>
                <w:sz w:val="20"/>
                <w:szCs w:val="20"/>
                <w:lang w:val="en-US"/>
              </w:rPr>
              <w:t>Hari berikutnya setelah tanggal terakhir siklus pencatatan pukul 10:30 (berdasarkan waktu yang ditampilkan sistem E-Trading)</w:t>
            </w:r>
          </w:p>
        </w:tc>
        <w:tc>
          <w:tcPr>
            <w:tcW w:w="992" w:type="dxa"/>
            <w:gridSpan w:val="2"/>
            <w:noWrap w:val="0"/>
            <w:vAlign w:val="center"/>
          </w:tcPr>
          <w:p w14:paraId="7245C1A2">
            <w:pPr>
              <w:widowControl/>
              <w:jc w:val="center"/>
              <w:rPr>
                <w:rFonts w:hint="default" w:hAnsi="宋体" w:eastAsia="宋体" w:cs="宋体" w:asciiTheme="minorAscii"/>
                <w:b w:val="0"/>
                <w:bCs w:val="0"/>
                <w:color w:val="auto"/>
                <w:kern w:val="0"/>
                <w:sz w:val="20"/>
                <w:szCs w:val="20"/>
                <w:lang w:val="en-US"/>
              </w:rPr>
            </w:pPr>
            <w:r>
              <w:rPr>
                <w:rFonts w:hint="eastAsia" w:asciiTheme="minorAscii"/>
                <w:b w:val="0"/>
                <w:bCs w:val="0"/>
                <w:color w:val="auto"/>
                <w:sz w:val="20"/>
                <w:szCs w:val="20"/>
                <w:lang w:val="en-US" w:eastAsia="zh-CN"/>
              </w:rPr>
              <w:t>1000 Yuan RMB</w:t>
            </w:r>
          </w:p>
        </w:tc>
        <w:tc>
          <w:tcPr>
            <w:tcW w:w="901" w:type="dxa"/>
            <w:noWrap w:val="0"/>
            <w:vAlign w:val="center"/>
          </w:tcPr>
          <w:p w14:paraId="6E5A8659">
            <w:pPr>
              <w:jc w:val="center"/>
              <w:rPr>
                <w:rFonts w:asciiTheme="minorAscii"/>
                <w:b w:val="0"/>
                <w:bCs w:val="0"/>
                <w:color w:val="auto"/>
                <w:sz w:val="20"/>
                <w:szCs w:val="20"/>
              </w:rPr>
            </w:pPr>
            <w:r>
              <w:rPr>
                <w:rFonts w:hint="eastAsia" w:asciiTheme="minorAscii"/>
                <w:b w:val="0"/>
                <w:bCs w:val="0"/>
                <w:color w:val="auto"/>
                <w:sz w:val="20"/>
                <w:szCs w:val="20"/>
              </w:rPr>
              <w:t>120</w:t>
            </w:r>
            <w:r>
              <w:rPr>
                <w:rFonts w:hint="eastAsia" w:asciiTheme="minorAscii"/>
                <w:b w:val="0"/>
                <w:bCs w:val="0"/>
                <w:color w:val="auto"/>
                <w:sz w:val="20"/>
                <w:szCs w:val="20"/>
                <w:lang w:val="en-US" w:eastAsia="zh-CN"/>
              </w:rPr>
              <w:t xml:space="preserve"> </w:t>
            </w:r>
            <w:r>
              <w:rPr>
                <w:rFonts w:hint="eastAsia" w:asciiTheme="minorAscii"/>
                <w:b w:val="0"/>
                <w:bCs w:val="0"/>
                <w:color w:val="auto"/>
                <w:sz w:val="20"/>
                <w:szCs w:val="20"/>
              </w:rPr>
              <w:t>Detik</w:t>
            </w:r>
          </w:p>
        </w:tc>
      </w:tr>
      <w:tr w14:paraId="27BC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638604F2">
            <w:pPr>
              <w:widowControl/>
              <w:spacing w:line="25" w:lineRule="atLeast"/>
              <w:jc w:val="center"/>
              <w:rPr>
                <w:rFonts w:hAnsi="宋体" w:eastAsia="宋体" w:cs="宋体" w:asciiTheme="minorAscii"/>
                <w:b w:val="0"/>
                <w:bCs w:val="0"/>
                <w:color w:val="auto"/>
                <w:kern w:val="0"/>
                <w:sz w:val="20"/>
                <w:szCs w:val="20"/>
              </w:rPr>
            </w:pPr>
            <w:r>
              <w:rPr>
                <w:rFonts w:hint="eastAsia" w:hAnsi="宋体" w:eastAsia="宋体" w:cs="宋体" w:asciiTheme="minorAscii"/>
                <w:b w:val="0"/>
                <w:bCs w:val="0"/>
                <w:color w:val="auto"/>
                <w:kern w:val="0"/>
                <w:sz w:val="20"/>
                <w:szCs w:val="20"/>
              </w:rPr>
              <w:t>Unduh Lampiran</w:t>
            </w:r>
          </w:p>
        </w:tc>
        <w:tc>
          <w:tcPr>
            <w:tcW w:w="7421" w:type="dxa"/>
            <w:gridSpan w:val="10"/>
            <w:noWrap w:val="0"/>
            <w:vAlign w:val="center"/>
          </w:tcPr>
          <w:p w14:paraId="51D29B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1. "Formulir Permohonan Pengalihan Properti"</w:t>
            </w:r>
          </w:p>
          <w:p w14:paraId="7F669B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2. "Aturan Lelang Online"</w:t>
            </w:r>
          </w:p>
          <w:p w14:paraId="264AAC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3. "Kontrak Transaksi Properti"</w:t>
            </w:r>
          </w:p>
          <w:p w14:paraId="6733FF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4. "Daftar Rinci Aset Afkir"</w:t>
            </w:r>
          </w:p>
          <w:p w14:paraId="736AEC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asciiTheme="minorAscii"/>
                <w:b w:val="0"/>
                <w:bCs w:val="0"/>
                <w:color w:val="auto"/>
                <w:sz w:val="20"/>
                <w:szCs w:val="20"/>
                <w:lang w:val="en-US" w:eastAsia="zh-CN"/>
              </w:rPr>
            </w:pPr>
            <w:r>
              <w:rPr>
                <w:rFonts w:hint="default" w:hAnsi="Consolas" w:eastAsia="Consolas" w:cs="Consolas" w:asciiTheme="minorAscii"/>
                <w:b w:val="0"/>
                <w:bCs w:val="0"/>
                <w:caps w:val="0"/>
                <w:color w:val="auto"/>
                <w:spacing w:val="0"/>
                <w:sz w:val="20"/>
                <w:szCs w:val="20"/>
              </w:rPr>
              <w:t>5. "Pengumuman Transfer Aset Versi Bahasa Asing"</w:t>
            </w:r>
          </w:p>
        </w:tc>
      </w:tr>
      <w:tr w14:paraId="1088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01" w:type="dxa"/>
            <w:noWrap w:val="0"/>
            <w:vAlign w:val="center"/>
          </w:tcPr>
          <w:p w14:paraId="0F33C721">
            <w:pPr>
              <w:jc w:val="center"/>
              <w:rPr>
                <w:rFonts w:asciiTheme="minorAscii"/>
                <w:b w:val="0"/>
                <w:bCs w:val="0"/>
                <w:color w:val="auto"/>
                <w:sz w:val="20"/>
                <w:szCs w:val="20"/>
              </w:rPr>
            </w:pPr>
            <w:r>
              <w:rPr>
                <w:rFonts w:hint="eastAsia" w:asciiTheme="minorAscii"/>
                <w:b w:val="0"/>
                <w:bCs w:val="0"/>
                <w:color w:val="auto"/>
                <w:sz w:val="20"/>
                <w:szCs w:val="20"/>
              </w:rPr>
              <w:t>Nomor Kontak</w:t>
            </w:r>
          </w:p>
        </w:tc>
        <w:tc>
          <w:tcPr>
            <w:tcW w:w="7421" w:type="dxa"/>
            <w:gridSpan w:val="10"/>
            <w:noWrap w:val="0"/>
            <w:vAlign w:val="top"/>
          </w:tcPr>
          <w:p w14:paraId="06FC86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Konsultasi Proyek dan Pendaftaran: Departemen Bisnis Sanya, Ibu Wang 0086-0898-88212428</w:t>
            </w:r>
          </w:p>
          <w:p w14:paraId="2DC4AB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Dukungan Teknis: Bapak Liu 0086-0898-66558002</w:t>
            </w:r>
          </w:p>
          <w:p w14:paraId="58162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asciiTheme="minorAscii"/>
                <w:b w:val="0"/>
                <w:bCs w:val="0"/>
                <w:color w:val="auto"/>
                <w:sz w:val="20"/>
                <w:szCs w:val="20"/>
                <w:lang w:val="en-US" w:eastAsia="zh-CN"/>
              </w:rPr>
            </w:pPr>
            <w:r>
              <w:rPr>
                <w:rFonts w:hint="default" w:hAnsi="Consolas" w:eastAsia="Consolas" w:cs="Consolas" w:asciiTheme="minorAscii"/>
                <w:b w:val="0"/>
                <w:bCs w:val="0"/>
                <w:caps w:val="0"/>
                <w:color w:val="auto"/>
                <w:spacing w:val="0"/>
                <w:sz w:val="20"/>
                <w:szCs w:val="20"/>
              </w:rPr>
              <w:t>Kontak Proyek Pihak Pengalih: Bapak Hu +86 13930743902 +62 081271705698</w:t>
            </w:r>
          </w:p>
        </w:tc>
      </w:tr>
      <w:tr w14:paraId="30D6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01" w:type="dxa"/>
            <w:noWrap w:val="0"/>
            <w:vAlign w:val="center"/>
          </w:tcPr>
          <w:p w14:paraId="516E874F">
            <w:pPr>
              <w:jc w:val="center"/>
              <w:rPr>
                <w:rFonts w:asciiTheme="minorAscii"/>
                <w:b w:val="0"/>
                <w:bCs w:val="0"/>
                <w:color w:val="auto"/>
                <w:sz w:val="20"/>
                <w:szCs w:val="20"/>
              </w:rPr>
            </w:pPr>
            <w:r>
              <w:rPr>
                <w:rFonts w:hint="eastAsia" w:asciiTheme="minorAscii"/>
                <w:b w:val="0"/>
                <w:bCs w:val="0"/>
                <w:color w:val="auto"/>
                <w:sz w:val="20"/>
                <w:szCs w:val="20"/>
              </w:rPr>
              <w:t>Alamat Kantor</w:t>
            </w:r>
          </w:p>
        </w:tc>
        <w:tc>
          <w:tcPr>
            <w:tcW w:w="7421" w:type="dxa"/>
            <w:gridSpan w:val="10"/>
            <w:noWrap w:val="0"/>
            <w:vAlign w:val="top"/>
          </w:tcPr>
          <w:p w14:paraId="58784E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Alamat Kantor Pusat:</w:t>
            </w:r>
          </w:p>
          <w:p w14:paraId="403B12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Lantai 18, Gedung Huaxia Bank, No. 61 Guoxing Avenue, Haikou City, Provinsi Hainan</w:t>
            </w:r>
          </w:p>
          <w:p w14:paraId="64DB43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Jendela Pusat Layanan Transaksi Sumber Daya Publik Provinsi Hainan:</w:t>
            </w:r>
          </w:p>
          <w:p w14:paraId="128398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Jendela No. 18, Aula Lantai Dasar, Fase II Administrasi Pemerintahan, Jalan Dayingshan Barat Kedua, Distrik Meilan, Haikou City</w:t>
            </w:r>
          </w:p>
          <w:p w14:paraId="0A3F16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hint="default" w:hAnsi="Consolas" w:eastAsia="Consolas" w:cs="Consolas" w:asciiTheme="minorAscii"/>
                <w:b w:val="0"/>
                <w:bCs w:val="0"/>
                <w:caps w:val="0"/>
                <w:color w:val="auto"/>
                <w:spacing w:val="0"/>
                <w:sz w:val="20"/>
                <w:szCs w:val="20"/>
              </w:rPr>
            </w:pPr>
            <w:r>
              <w:rPr>
                <w:rFonts w:hint="default" w:hAnsi="Consolas" w:eastAsia="Consolas" w:cs="Consolas" w:asciiTheme="minorAscii"/>
                <w:b w:val="0"/>
                <w:bCs w:val="0"/>
                <w:caps w:val="0"/>
                <w:color w:val="auto"/>
                <w:spacing w:val="0"/>
                <w:sz w:val="20"/>
                <w:szCs w:val="20"/>
              </w:rPr>
              <w:t>Jendela No. 6 Pusat Transaksi Sumber Daya Publik Sanya:</w:t>
            </w:r>
          </w:p>
          <w:p w14:paraId="7DEB04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4" w:lineRule="atLeast"/>
              <w:ind w:left="0" w:right="0" w:firstLine="0"/>
              <w:jc w:val="left"/>
              <w:rPr>
                <w:rFonts w:asciiTheme="minorAscii"/>
                <w:b w:val="0"/>
                <w:bCs w:val="0"/>
                <w:color w:val="auto"/>
                <w:sz w:val="20"/>
                <w:szCs w:val="20"/>
              </w:rPr>
            </w:pPr>
            <w:r>
              <w:rPr>
                <w:rFonts w:hint="default" w:hAnsi="Consolas" w:eastAsia="Consolas" w:cs="Consolas" w:asciiTheme="minorAscii"/>
                <w:b w:val="0"/>
                <w:bCs w:val="0"/>
                <w:caps w:val="0"/>
                <w:color w:val="auto"/>
                <w:spacing w:val="0"/>
                <w:sz w:val="20"/>
                <w:szCs w:val="20"/>
              </w:rPr>
              <w:t>Lantai 8, Gedung A3, Pusat Pasar Modal Sanya · Lvwen, Jalan Dong'an No. 1, Distrik Jiyang, Sanya City</w:t>
            </w:r>
          </w:p>
        </w:tc>
      </w:tr>
      <w:tr w14:paraId="3FA2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noWrap w:val="0"/>
            <w:vAlign w:val="center"/>
          </w:tcPr>
          <w:p w14:paraId="35547E4F">
            <w:pPr>
              <w:jc w:val="center"/>
              <w:rPr>
                <w:rFonts w:asciiTheme="minorAscii"/>
                <w:b w:val="0"/>
                <w:bCs w:val="0"/>
                <w:color w:val="auto"/>
                <w:sz w:val="20"/>
                <w:szCs w:val="20"/>
              </w:rPr>
            </w:pPr>
            <w:r>
              <w:rPr>
                <w:rFonts w:hint="eastAsia" w:asciiTheme="minorAscii"/>
                <w:b w:val="0"/>
                <w:bCs w:val="0"/>
                <w:color w:val="auto"/>
                <w:sz w:val="20"/>
                <w:szCs w:val="20"/>
              </w:rPr>
              <w:t>Lainnya</w:t>
            </w:r>
          </w:p>
        </w:tc>
        <w:tc>
          <w:tcPr>
            <w:tcW w:w="7421" w:type="dxa"/>
            <w:gridSpan w:val="10"/>
            <w:noWrap w:val="0"/>
            <w:vAlign w:val="center"/>
          </w:tcPr>
          <w:p w14:paraId="66784130">
            <w:pPr>
              <w:jc w:val="center"/>
              <w:rPr>
                <w:rFonts w:asciiTheme="minorAscii"/>
                <w:b w:val="0"/>
                <w:bCs w:val="0"/>
                <w:color w:val="auto"/>
                <w:sz w:val="20"/>
                <w:szCs w:val="20"/>
              </w:rPr>
            </w:pPr>
          </w:p>
        </w:tc>
      </w:tr>
    </w:tbl>
    <w:p w14:paraId="4227F0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9A83E"/>
    <w:multiLevelType w:val="singleLevel"/>
    <w:tmpl w:val="F129A8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NjA2YzRkZGE4NDA1Y2NhNzc5ZjA4ZjgxMDQ1MmYifQ=="/>
  </w:docVars>
  <w:rsids>
    <w:rsidRoot w:val="450E040D"/>
    <w:rsid w:val="004B48CF"/>
    <w:rsid w:val="073613EC"/>
    <w:rsid w:val="077B0F6F"/>
    <w:rsid w:val="08612B3D"/>
    <w:rsid w:val="091D2554"/>
    <w:rsid w:val="09563DB9"/>
    <w:rsid w:val="0AD1239D"/>
    <w:rsid w:val="0D67455C"/>
    <w:rsid w:val="0EFE3D34"/>
    <w:rsid w:val="102A095B"/>
    <w:rsid w:val="105772C0"/>
    <w:rsid w:val="111915D7"/>
    <w:rsid w:val="15501049"/>
    <w:rsid w:val="15BB17E7"/>
    <w:rsid w:val="166A27DA"/>
    <w:rsid w:val="179100AB"/>
    <w:rsid w:val="18AE649B"/>
    <w:rsid w:val="18F705B4"/>
    <w:rsid w:val="1D6961B8"/>
    <w:rsid w:val="229B42E2"/>
    <w:rsid w:val="26A256BC"/>
    <w:rsid w:val="29DE36B2"/>
    <w:rsid w:val="2F735FAD"/>
    <w:rsid w:val="30E37739"/>
    <w:rsid w:val="34006CB9"/>
    <w:rsid w:val="3542033F"/>
    <w:rsid w:val="35A4418F"/>
    <w:rsid w:val="362D7733"/>
    <w:rsid w:val="36492EAC"/>
    <w:rsid w:val="38055726"/>
    <w:rsid w:val="3CB511C2"/>
    <w:rsid w:val="3E834A54"/>
    <w:rsid w:val="3FD0676B"/>
    <w:rsid w:val="407A3267"/>
    <w:rsid w:val="43DB1093"/>
    <w:rsid w:val="443361CE"/>
    <w:rsid w:val="450E040D"/>
    <w:rsid w:val="45A044A9"/>
    <w:rsid w:val="47404815"/>
    <w:rsid w:val="48664996"/>
    <w:rsid w:val="4972136D"/>
    <w:rsid w:val="4A6549C2"/>
    <w:rsid w:val="4AB16FF2"/>
    <w:rsid w:val="4E8F1824"/>
    <w:rsid w:val="4F9742F5"/>
    <w:rsid w:val="4FE25169"/>
    <w:rsid w:val="50BD4D0C"/>
    <w:rsid w:val="51C40CD2"/>
    <w:rsid w:val="53CF0783"/>
    <w:rsid w:val="551F76C9"/>
    <w:rsid w:val="55A36784"/>
    <w:rsid w:val="56995AC5"/>
    <w:rsid w:val="58A14D05"/>
    <w:rsid w:val="59B137DD"/>
    <w:rsid w:val="59E71B7C"/>
    <w:rsid w:val="5B0336A5"/>
    <w:rsid w:val="5BC70796"/>
    <w:rsid w:val="5CBE63CD"/>
    <w:rsid w:val="5D113496"/>
    <w:rsid w:val="5DD62BB2"/>
    <w:rsid w:val="60BE3D3A"/>
    <w:rsid w:val="62286FC2"/>
    <w:rsid w:val="6407445F"/>
    <w:rsid w:val="640B07FC"/>
    <w:rsid w:val="66044ED5"/>
    <w:rsid w:val="662B49D1"/>
    <w:rsid w:val="66305848"/>
    <w:rsid w:val="67367130"/>
    <w:rsid w:val="680C0164"/>
    <w:rsid w:val="690F6F65"/>
    <w:rsid w:val="69EB4031"/>
    <w:rsid w:val="6AE44B9E"/>
    <w:rsid w:val="6D657A9C"/>
    <w:rsid w:val="6F6E0D5D"/>
    <w:rsid w:val="700E441B"/>
    <w:rsid w:val="758229AF"/>
    <w:rsid w:val="759D5E96"/>
    <w:rsid w:val="7685067C"/>
    <w:rsid w:val="77643442"/>
    <w:rsid w:val="789535F7"/>
    <w:rsid w:val="797B7098"/>
    <w:rsid w:val="79894330"/>
    <w:rsid w:val="7995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eastAsia="仿宋_GB2312"/>
      <w:sz w:val="32"/>
    </w:rPr>
  </w:style>
  <w:style w:type="paragraph" w:styleId="3">
    <w:name w:val="Plain Text"/>
    <w:basedOn w:val="1"/>
    <w:qFormat/>
    <w:uiPriority w:val="0"/>
    <w:rPr>
      <w:rFonts w:ascii="宋体" w:hAnsi="Courier New" w:cs="Courier New"/>
      <w:szCs w:val="21"/>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1583</Words>
  <Characters>10027</Characters>
  <Lines>0</Lines>
  <Paragraphs>0</Paragraphs>
  <TotalTime>4</TotalTime>
  <ScaleCrop>false</ScaleCrop>
  <LinksUpToDate>false</LinksUpToDate>
  <CharactersWithSpaces>11515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2024-04-02T07:36:00Z</dcterms:created>
  <dc:creator>琉璃@疏影</dc:creator>
  <cp:lastModifiedBy>大鹏</cp:lastModifiedBy>
  <cp:lastPrinted>2025-12-05T03:18:00Z</cp:lastPrinted>
  <dcterms:modified xsi:type="dcterms:W3CDTF">2026-05-12T03:28:33Z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EE9641DF183C4804B6B02C82BB518E7F_13</vt:lpwstr>
  </property>
  <property fmtid="{D5CDD505-2E9C-101B-9397-08002B2CF9AE}" pid="4" name="KSOTemplateDocerSaveRecord">
    <vt:lpwstr>eyJoZGlkIjoiZDkyMzcyY2ExZGY0NDU4YmJjODY4ODQ5YWJiZThlNzUiLCJ1c2VySWQiOiI0NDIwNjAyMTAifQ==</vt:lpwstr>
  </property>
</Properties>
</file>