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EE7F6">
      <w:pPr>
        <w:jc w:val="center"/>
        <w:rPr>
          <w:rFonts w:ascii="华文中宋" w:hAnsi="华文中宋" w:eastAsia="华文中宋" w:cs="Times New Roman"/>
          <w:sz w:val="44"/>
          <w:szCs w:val="44"/>
        </w:rPr>
      </w:pPr>
      <w:r>
        <w:rPr>
          <w:rFonts w:hint="eastAsia" w:ascii="华文中宋" w:hAnsi="华文中宋" w:eastAsia="华文中宋" w:cs="Times New Roman"/>
          <w:sz w:val="44"/>
          <w:szCs w:val="44"/>
        </w:rPr>
        <w:t>砂石</w:t>
      </w:r>
      <w:r>
        <w:rPr>
          <w:rFonts w:ascii="华文中宋" w:hAnsi="华文中宋" w:eastAsia="华文中宋" w:cs="Times New Roman"/>
          <w:sz w:val="44"/>
          <w:szCs w:val="44"/>
        </w:rPr>
        <w:t>销售协议</w:t>
      </w:r>
      <w:r>
        <w:rPr>
          <w:rFonts w:hint="eastAsia" w:ascii="华文中宋" w:hAnsi="华文中宋" w:eastAsia="华文中宋" w:cs="Times New Roman"/>
          <w:sz w:val="44"/>
          <w:szCs w:val="44"/>
        </w:rPr>
        <w:t xml:space="preserve"> </w:t>
      </w:r>
    </w:p>
    <w:p w14:paraId="04C5A1D6">
      <w:pPr>
        <w:rPr>
          <w:rFonts w:ascii="仿宋" w:hAnsi="仿宋" w:eastAsia="仿宋" w:cs="Times New Roman"/>
          <w:sz w:val="32"/>
          <w:szCs w:val="32"/>
        </w:rPr>
      </w:pPr>
    </w:p>
    <w:p w14:paraId="2CDE3D93">
      <w:pPr>
        <w:rPr>
          <w:rFonts w:ascii="仿宋" w:hAnsi="仿宋" w:eastAsia="仿宋" w:cs="仿宋"/>
          <w:sz w:val="32"/>
          <w:szCs w:val="32"/>
        </w:rPr>
      </w:pPr>
      <w:r>
        <w:rPr>
          <w:rFonts w:hint="eastAsia" w:ascii="仿宋" w:hAnsi="仿宋" w:eastAsia="仿宋" w:cs="仿宋"/>
          <w:sz w:val="32"/>
          <w:szCs w:val="32"/>
        </w:rPr>
        <w:t>甲方：海口市生态环境建设投资有限公司（卖方）</w:t>
      </w:r>
    </w:p>
    <w:p w14:paraId="64ECF808">
      <w:pPr>
        <w:rPr>
          <w:rFonts w:ascii="仿宋" w:hAnsi="仿宋" w:eastAsia="仿宋" w:cs="仿宋"/>
          <w:sz w:val="32"/>
          <w:szCs w:val="32"/>
        </w:rPr>
      </w:pPr>
      <w:r>
        <w:rPr>
          <w:rFonts w:hint="eastAsia" w:ascii="仿宋" w:hAnsi="仿宋" w:eastAsia="仿宋" w:cs="仿宋"/>
          <w:sz w:val="32"/>
          <w:szCs w:val="32"/>
        </w:rPr>
        <w:t>乙方：                               （买方）</w:t>
      </w:r>
    </w:p>
    <w:p w14:paraId="71F43D9E">
      <w:pPr>
        <w:rPr>
          <w:rFonts w:ascii="仿宋" w:hAnsi="仿宋" w:eastAsia="仿宋" w:cs="仿宋"/>
          <w:sz w:val="32"/>
          <w:szCs w:val="32"/>
        </w:rPr>
      </w:pPr>
    </w:p>
    <w:p w14:paraId="41ECDA1F">
      <w:pPr>
        <w:ind w:firstLine="640" w:firstLineChars="200"/>
        <w:rPr>
          <w:rFonts w:ascii="仿宋" w:hAnsi="仿宋" w:eastAsia="仿宋" w:cs="仿宋"/>
          <w:sz w:val="32"/>
          <w:szCs w:val="32"/>
        </w:rPr>
      </w:pPr>
      <w:r>
        <w:rPr>
          <w:rFonts w:hint="eastAsia" w:ascii="仿宋" w:hAnsi="仿宋" w:eastAsia="仿宋" w:cs="仿宋"/>
          <w:sz w:val="32"/>
          <w:szCs w:val="32"/>
        </w:rPr>
        <w:t>根据《中华人民共和国民法典》的相关规定，乙方向甲方采购标的物，买卖双方在平等互利的基础上，经充分协商，达成以下协议，以资共同信守执行：</w:t>
      </w:r>
    </w:p>
    <w:p w14:paraId="3678BDB1">
      <w:pPr>
        <w:ind w:firstLine="640" w:firstLineChars="200"/>
        <w:rPr>
          <w:rFonts w:ascii="黑体" w:hAnsi="黑体" w:eastAsia="黑体" w:cs="黑体"/>
          <w:sz w:val="32"/>
          <w:szCs w:val="32"/>
        </w:rPr>
      </w:pPr>
      <w:r>
        <w:rPr>
          <w:rFonts w:hint="eastAsia" w:ascii="黑体" w:hAnsi="黑体" w:eastAsia="黑体" w:cs="黑体"/>
          <w:sz w:val="32"/>
          <w:szCs w:val="32"/>
        </w:rPr>
        <w:t>一、砂石数量、价格</w:t>
      </w:r>
    </w:p>
    <w:tbl>
      <w:tblPr>
        <w:tblStyle w:val="6"/>
        <w:tblpPr w:leftFromText="180" w:rightFromText="180" w:vertAnchor="text" w:horzAnchor="page" w:tblpX="1059" w:tblpY="252"/>
        <w:tblOverlap w:val="never"/>
        <w:tblW w:w="10065" w:type="dxa"/>
        <w:tblInd w:w="0" w:type="dxa"/>
        <w:tblLayout w:type="fixed"/>
        <w:tblCellMar>
          <w:top w:w="0" w:type="dxa"/>
          <w:left w:w="108" w:type="dxa"/>
          <w:bottom w:w="0" w:type="dxa"/>
          <w:right w:w="108" w:type="dxa"/>
        </w:tblCellMar>
      </w:tblPr>
      <w:tblGrid>
        <w:gridCol w:w="3487"/>
        <w:gridCol w:w="1417"/>
        <w:gridCol w:w="1100"/>
        <w:gridCol w:w="1466"/>
        <w:gridCol w:w="2595"/>
      </w:tblGrid>
      <w:tr w14:paraId="09C735A0">
        <w:tblPrEx>
          <w:tblCellMar>
            <w:top w:w="0" w:type="dxa"/>
            <w:left w:w="108" w:type="dxa"/>
            <w:bottom w:w="0" w:type="dxa"/>
            <w:right w:w="108" w:type="dxa"/>
          </w:tblCellMar>
        </w:tblPrEx>
        <w:trPr>
          <w:trHeight w:val="775" w:hRule="atLeast"/>
        </w:trPr>
        <w:tc>
          <w:tcPr>
            <w:tcW w:w="34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11EE64">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货品名称</w:t>
            </w:r>
          </w:p>
        </w:tc>
        <w:tc>
          <w:tcPr>
            <w:tcW w:w="1417" w:type="dxa"/>
            <w:tcBorders>
              <w:top w:val="single" w:color="000000" w:sz="8" w:space="0"/>
              <w:left w:val="nil"/>
              <w:bottom w:val="single" w:color="000000" w:sz="8" w:space="0"/>
              <w:right w:val="single" w:color="000000" w:sz="8" w:space="0"/>
            </w:tcBorders>
            <w:shd w:val="clear" w:color="auto" w:fill="auto"/>
            <w:vAlign w:val="center"/>
          </w:tcPr>
          <w:p w14:paraId="37F349EC">
            <w:pPr>
              <w:widowControl/>
              <w:textAlignment w:val="center"/>
              <w:rPr>
                <w:rFonts w:ascii="仿宋" w:hAnsi="仿宋" w:eastAsia="仿宋" w:cs="仿宋"/>
                <w:sz w:val="28"/>
                <w:szCs w:val="28"/>
              </w:rPr>
            </w:pPr>
            <w:r>
              <w:rPr>
                <w:rFonts w:hint="eastAsia" w:ascii="仿宋" w:hAnsi="仿宋" w:eastAsia="仿宋" w:cs="仿宋"/>
                <w:kern w:val="0"/>
                <w:sz w:val="28"/>
                <w:szCs w:val="28"/>
                <w:lang w:bidi="ar"/>
              </w:rPr>
              <w:t>计量单位</w:t>
            </w:r>
          </w:p>
        </w:tc>
        <w:tc>
          <w:tcPr>
            <w:tcW w:w="1100" w:type="dxa"/>
            <w:tcBorders>
              <w:top w:val="single" w:color="000000" w:sz="8" w:space="0"/>
              <w:left w:val="nil"/>
              <w:bottom w:val="single" w:color="000000" w:sz="8" w:space="0"/>
              <w:right w:val="single" w:color="000000" w:sz="8" w:space="0"/>
            </w:tcBorders>
            <w:shd w:val="clear" w:color="auto" w:fill="auto"/>
            <w:vAlign w:val="center"/>
          </w:tcPr>
          <w:p w14:paraId="0B67A32D">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数量</w:t>
            </w:r>
          </w:p>
        </w:tc>
        <w:tc>
          <w:tcPr>
            <w:tcW w:w="1466" w:type="dxa"/>
            <w:tcBorders>
              <w:top w:val="single" w:color="000000" w:sz="8" w:space="0"/>
              <w:left w:val="nil"/>
              <w:bottom w:val="single" w:color="000000" w:sz="8" w:space="0"/>
              <w:right w:val="single" w:color="auto" w:sz="4" w:space="0"/>
            </w:tcBorders>
            <w:shd w:val="clear" w:color="auto" w:fill="auto"/>
            <w:vAlign w:val="center"/>
          </w:tcPr>
          <w:p w14:paraId="21EBB0EB">
            <w:pPr>
              <w:widowControl/>
              <w:ind w:firstLine="280" w:firstLineChars="100"/>
              <w:textAlignment w:val="center"/>
              <w:rPr>
                <w:rFonts w:ascii="仿宋" w:hAnsi="仿宋" w:eastAsia="仿宋" w:cs="仿宋"/>
                <w:kern w:val="0"/>
                <w:sz w:val="28"/>
                <w:szCs w:val="28"/>
                <w:lang w:bidi="ar"/>
              </w:rPr>
            </w:pPr>
            <w:r>
              <w:rPr>
                <w:rFonts w:hint="eastAsia" w:ascii="仿宋" w:hAnsi="仿宋" w:eastAsia="仿宋" w:cs="仿宋"/>
                <w:kern w:val="0"/>
                <w:sz w:val="28"/>
                <w:szCs w:val="28"/>
                <w:lang w:bidi="ar"/>
              </w:rPr>
              <w:t>单 价</w:t>
            </w:r>
          </w:p>
          <w:p w14:paraId="69EEEA5B">
            <w:pPr>
              <w:widowControl/>
              <w:textAlignment w:val="center"/>
              <w:rPr>
                <w:rFonts w:ascii="仿宋" w:hAnsi="仿宋" w:eastAsia="仿宋" w:cs="仿宋"/>
                <w:sz w:val="28"/>
                <w:szCs w:val="28"/>
              </w:rPr>
            </w:pPr>
            <w:r>
              <w:rPr>
                <w:rFonts w:hint="eastAsia" w:ascii="仿宋" w:hAnsi="仿宋" w:eastAsia="仿宋" w:cs="仿宋"/>
                <w:kern w:val="0"/>
                <w:sz w:val="28"/>
                <w:szCs w:val="28"/>
                <w:lang w:bidi="ar"/>
              </w:rPr>
              <w:t>（元/方）</w:t>
            </w:r>
          </w:p>
        </w:tc>
        <w:tc>
          <w:tcPr>
            <w:tcW w:w="2595" w:type="dxa"/>
            <w:tcBorders>
              <w:top w:val="single" w:color="auto" w:sz="4" w:space="0"/>
              <w:left w:val="single" w:color="auto" w:sz="4" w:space="0"/>
              <w:bottom w:val="single" w:color="auto" w:sz="4" w:space="0"/>
              <w:right w:val="single" w:color="auto" w:sz="4" w:space="0"/>
            </w:tcBorders>
            <w:shd w:val="clear" w:color="auto" w:fill="auto"/>
            <w:vAlign w:val="center"/>
          </w:tcPr>
          <w:p w14:paraId="0DA18DBD">
            <w:pPr>
              <w:widowControl/>
              <w:ind w:firstLine="280" w:firstLineChars="100"/>
              <w:textAlignment w:val="center"/>
              <w:rPr>
                <w:rFonts w:ascii="仿宋" w:hAnsi="仿宋" w:eastAsia="仿宋" w:cs="仿宋"/>
                <w:sz w:val="28"/>
                <w:szCs w:val="28"/>
              </w:rPr>
            </w:pPr>
            <w:r>
              <w:rPr>
                <w:rFonts w:hint="eastAsia" w:ascii="仿宋" w:hAnsi="仿宋" w:eastAsia="仿宋" w:cs="仿宋"/>
                <w:kern w:val="0"/>
                <w:sz w:val="28"/>
                <w:szCs w:val="28"/>
                <w:lang w:bidi="ar"/>
              </w:rPr>
              <w:t>合计（元）</w:t>
            </w:r>
          </w:p>
        </w:tc>
      </w:tr>
      <w:tr w14:paraId="25784F0D">
        <w:tblPrEx>
          <w:tblCellMar>
            <w:top w:w="0" w:type="dxa"/>
            <w:left w:w="108" w:type="dxa"/>
            <w:bottom w:w="0" w:type="dxa"/>
            <w:right w:w="108" w:type="dxa"/>
          </w:tblCellMar>
        </w:tblPrEx>
        <w:trPr>
          <w:trHeight w:val="754" w:hRule="atLeast"/>
        </w:trPr>
        <w:tc>
          <w:tcPr>
            <w:tcW w:w="3487" w:type="dxa"/>
            <w:tcBorders>
              <w:top w:val="nil"/>
              <w:left w:val="single" w:color="000000" w:sz="8" w:space="0"/>
              <w:bottom w:val="single" w:color="000000" w:sz="8" w:space="0"/>
              <w:right w:val="single" w:color="000000" w:sz="8" w:space="0"/>
            </w:tcBorders>
            <w:shd w:val="clear" w:color="auto" w:fill="auto"/>
            <w:vAlign w:val="center"/>
          </w:tcPr>
          <w:p w14:paraId="3A60E3D0">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val="en-US" w:eastAsia="zh-CN" w:bidi="ar"/>
              </w:rPr>
              <w:t>疏浚物</w:t>
            </w:r>
            <w:r>
              <w:rPr>
                <w:rFonts w:hint="eastAsia" w:ascii="仿宋" w:hAnsi="仿宋" w:eastAsia="仿宋" w:cs="仿宋"/>
                <w:kern w:val="0"/>
                <w:sz w:val="28"/>
                <w:szCs w:val="28"/>
                <w:lang w:bidi="ar"/>
              </w:rPr>
              <w:t>（海口江东新区河口排涝泵闸建设工程（道孟河泵站下游河道疏浚工程））</w:t>
            </w:r>
          </w:p>
        </w:tc>
        <w:tc>
          <w:tcPr>
            <w:tcW w:w="1417" w:type="dxa"/>
            <w:tcBorders>
              <w:top w:val="nil"/>
              <w:left w:val="nil"/>
              <w:bottom w:val="single" w:color="000000" w:sz="8" w:space="0"/>
              <w:right w:val="single" w:color="000000" w:sz="8" w:space="0"/>
            </w:tcBorders>
            <w:shd w:val="clear" w:color="auto" w:fill="auto"/>
            <w:vAlign w:val="center"/>
          </w:tcPr>
          <w:p w14:paraId="32106E3E">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方</w:t>
            </w:r>
          </w:p>
        </w:tc>
        <w:tc>
          <w:tcPr>
            <w:tcW w:w="1100" w:type="dxa"/>
            <w:tcBorders>
              <w:top w:val="nil"/>
              <w:left w:val="nil"/>
              <w:bottom w:val="single" w:color="000000" w:sz="8" w:space="0"/>
              <w:right w:val="single" w:color="000000" w:sz="8" w:space="0"/>
            </w:tcBorders>
            <w:shd w:val="clear" w:color="auto" w:fill="auto"/>
            <w:noWrap/>
            <w:vAlign w:val="center"/>
          </w:tcPr>
          <w:p w14:paraId="3B620588">
            <w:pPr>
              <w:widowControl/>
              <w:jc w:val="center"/>
              <w:textAlignment w:val="center"/>
              <w:rPr>
                <w:rFonts w:hint="default" w:ascii="仿宋" w:hAnsi="仿宋" w:eastAsia="仿宋" w:cs="仿宋"/>
                <w:sz w:val="28"/>
                <w:szCs w:val="28"/>
                <w:lang w:val="en-US" w:eastAsia="zh-CN"/>
              </w:rPr>
            </w:pPr>
            <w:r>
              <w:rPr>
                <w:rFonts w:hint="eastAsia" w:ascii="宋体" w:hAnsi="宋体" w:eastAsia="仿宋"/>
                <w:color w:val="FF0000"/>
                <w:sz w:val="24"/>
                <w:lang w:val="en-US" w:eastAsia="zh-CN"/>
              </w:rPr>
              <w:t>116000</w:t>
            </w:r>
          </w:p>
        </w:tc>
        <w:tc>
          <w:tcPr>
            <w:tcW w:w="1466" w:type="dxa"/>
            <w:tcBorders>
              <w:top w:val="nil"/>
              <w:left w:val="nil"/>
              <w:bottom w:val="single" w:color="auto" w:sz="4" w:space="0"/>
              <w:right w:val="single" w:color="auto" w:sz="4" w:space="0"/>
            </w:tcBorders>
            <w:shd w:val="clear" w:color="auto" w:fill="auto"/>
            <w:vAlign w:val="center"/>
          </w:tcPr>
          <w:p w14:paraId="3A7B1769">
            <w:pPr>
              <w:widowControl/>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40.24</w:t>
            </w:r>
            <w:bookmarkStart w:id="1" w:name="_GoBack"/>
            <w:bookmarkEnd w:id="1"/>
          </w:p>
        </w:tc>
        <w:tc>
          <w:tcPr>
            <w:tcW w:w="2595" w:type="dxa"/>
            <w:tcBorders>
              <w:top w:val="single" w:color="auto" w:sz="4" w:space="0"/>
              <w:left w:val="single" w:color="auto" w:sz="4" w:space="0"/>
              <w:bottom w:val="single" w:color="auto" w:sz="4" w:space="0"/>
              <w:right w:val="single" w:color="auto" w:sz="4" w:space="0"/>
            </w:tcBorders>
            <w:shd w:val="clear" w:color="auto" w:fill="auto"/>
            <w:vAlign w:val="center"/>
          </w:tcPr>
          <w:p w14:paraId="1F3DEB4B">
            <w:pPr>
              <w:widowControl/>
              <w:ind w:firstLine="840" w:firstLineChars="300"/>
              <w:textAlignment w:val="center"/>
              <w:rPr>
                <w:rFonts w:ascii="仿宋" w:hAnsi="仿宋" w:eastAsia="仿宋" w:cs="仿宋"/>
                <w:sz w:val="28"/>
                <w:szCs w:val="28"/>
              </w:rPr>
            </w:pPr>
          </w:p>
        </w:tc>
      </w:tr>
      <w:tr w14:paraId="539B8063">
        <w:tblPrEx>
          <w:tblCellMar>
            <w:top w:w="0" w:type="dxa"/>
            <w:left w:w="108" w:type="dxa"/>
            <w:bottom w:w="0" w:type="dxa"/>
            <w:right w:w="108" w:type="dxa"/>
          </w:tblCellMar>
        </w:tblPrEx>
        <w:trPr>
          <w:trHeight w:val="765" w:hRule="atLeast"/>
        </w:trPr>
        <w:tc>
          <w:tcPr>
            <w:tcW w:w="3487" w:type="dxa"/>
            <w:tcBorders>
              <w:top w:val="nil"/>
              <w:left w:val="single" w:color="000000" w:sz="8" w:space="0"/>
              <w:bottom w:val="single" w:color="000000" w:sz="8" w:space="0"/>
              <w:right w:val="single" w:color="000000" w:sz="8" w:space="0"/>
            </w:tcBorders>
            <w:shd w:val="clear" w:color="auto" w:fill="auto"/>
            <w:vAlign w:val="center"/>
          </w:tcPr>
          <w:p w14:paraId="137D5F0C">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合计（元）</w:t>
            </w:r>
          </w:p>
        </w:tc>
        <w:tc>
          <w:tcPr>
            <w:tcW w:w="6578" w:type="dxa"/>
            <w:gridSpan w:val="4"/>
            <w:tcBorders>
              <w:top w:val="nil"/>
              <w:left w:val="nil"/>
              <w:bottom w:val="single" w:color="000000" w:sz="8" w:space="0"/>
              <w:right w:val="single" w:color="000000" w:sz="8" w:space="0"/>
            </w:tcBorders>
            <w:shd w:val="clear" w:color="auto" w:fill="auto"/>
            <w:vAlign w:val="center"/>
          </w:tcPr>
          <w:p w14:paraId="4BB4011D">
            <w:pPr>
              <w:widowControl/>
              <w:jc w:val="left"/>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 xml:space="preserve"> 人民币大写：</w:t>
            </w:r>
          </w:p>
        </w:tc>
      </w:tr>
      <w:tr w14:paraId="4505EB97">
        <w:tblPrEx>
          <w:tblCellMar>
            <w:top w:w="0" w:type="dxa"/>
            <w:left w:w="108" w:type="dxa"/>
            <w:bottom w:w="0" w:type="dxa"/>
            <w:right w:w="108" w:type="dxa"/>
          </w:tblCellMar>
        </w:tblPrEx>
        <w:trPr>
          <w:trHeight w:val="1380" w:hRule="atLeast"/>
        </w:trPr>
        <w:tc>
          <w:tcPr>
            <w:tcW w:w="10065" w:type="dxa"/>
            <w:gridSpan w:val="5"/>
            <w:tcBorders>
              <w:top w:val="nil"/>
              <w:left w:val="single" w:color="000000" w:sz="8" w:space="0"/>
              <w:bottom w:val="single" w:color="000000" w:sz="8" w:space="0"/>
              <w:right w:val="single" w:color="000000" w:sz="8" w:space="0"/>
            </w:tcBorders>
            <w:shd w:val="clear" w:color="auto" w:fill="auto"/>
            <w:vAlign w:val="center"/>
          </w:tcPr>
          <w:p w14:paraId="0F99416A">
            <w:pPr>
              <w:widowControl/>
              <w:ind w:left="560" w:hanging="560" w:hangingChars="200"/>
              <w:jc w:val="left"/>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注：1.该项目计量方式为以平车厢量方作为计量标准，乙方提货不得装载高于车厢，否则因高于车厢需退回卸料产生的一切费用及安全生产等问题由乙方自行承担。</w:t>
            </w:r>
          </w:p>
          <w:p w14:paraId="056F451F">
            <w:pPr>
              <w:widowControl/>
              <w:ind w:left="560"/>
              <w:jc w:val="left"/>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2.提货运输车辆在运输过程中，被交警或其他相关部门抓到超载或违章等行为，由乙方自行承担，与甲方无关。</w:t>
            </w:r>
          </w:p>
          <w:p w14:paraId="18BB5FED">
            <w:pPr>
              <w:widowControl/>
              <w:ind w:left="560"/>
              <w:jc w:val="left"/>
              <w:textAlignment w:val="center"/>
              <w:rPr>
                <w:rFonts w:ascii="仿宋" w:hAnsi="仿宋" w:eastAsia="仿宋" w:cs="仿宋"/>
                <w:color w:val="FF0000"/>
                <w:kern w:val="0"/>
                <w:sz w:val="28"/>
                <w:szCs w:val="28"/>
                <w:lang w:bidi="ar"/>
              </w:rPr>
            </w:pPr>
            <w:r>
              <w:rPr>
                <w:rFonts w:hint="eastAsia" w:ascii="仿宋" w:hAnsi="仿宋" w:eastAsia="仿宋" w:cs="仿宋"/>
                <w:color w:val="FF0000"/>
                <w:kern w:val="0"/>
                <w:sz w:val="28"/>
                <w:szCs w:val="28"/>
                <w:lang w:bidi="ar"/>
              </w:rPr>
              <w:t>3.乙方使用本次转让的砂石资源须接受甲方流向跟踪，不得进入非法加工点进行加工使用，甲方有权要求乙方更换物料接收地。一经发现转让的砂石资源进入非法加工，甲方有权停止供应砂石资源，并解除合同，没收乙方履约保证金。同时，甲方有权报告并提请主管部门进行调查、监督。</w:t>
            </w:r>
          </w:p>
          <w:p w14:paraId="675BBA46">
            <w:pPr>
              <w:widowControl/>
              <w:ind w:left="560"/>
              <w:jc w:val="left"/>
              <w:textAlignment w:val="center"/>
              <w:rPr>
                <w:rFonts w:ascii="仿宋" w:hAnsi="仿宋" w:eastAsia="仿宋" w:cs="仿宋"/>
                <w:color w:val="000000"/>
                <w:kern w:val="0"/>
                <w:sz w:val="28"/>
                <w:szCs w:val="28"/>
                <w:lang w:bidi="ar"/>
              </w:rPr>
            </w:pPr>
            <w:r>
              <w:rPr>
                <w:rFonts w:hint="eastAsia" w:ascii="仿宋" w:hAnsi="仿宋" w:eastAsia="仿宋" w:cs="仿宋"/>
                <w:color w:val="FF0000"/>
                <w:kern w:val="0"/>
                <w:sz w:val="28"/>
                <w:szCs w:val="28"/>
                <w:lang w:bidi="ar"/>
              </w:rPr>
              <w:t>4.本协议挂牌量为项目方提交的暂估量，最终以项目实际开挖产生的剩余量为准，以乙方实际出库量作为结算依据。</w:t>
            </w:r>
          </w:p>
        </w:tc>
      </w:tr>
    </w:tbl>
    <w:p w14:paraId="0F2BE9BC">
      <w:pPr>
        <w:ind w:firstLine="640" w:firstLineChars="200"/>
        <w:rPr>
          <w:rFonts w:ascii="黑体" w:hAnsi="黑体" w:eastAsia="黑体" w:cs="黑体"/>
          <w:sz w:val="32"/>
          <w:szCs w:val="32"/>
        </w:rPr>
      </w:pPr>
      <w:r>
        <w:rPr>
          <w:rFonts w:hint="eastAsia" w:ascii="黑体" w:hAnsi="黑体" w:eastAsia="黑体" w:cs="黑体"/>
          <w:sz w:val="32"/>
          <w:szCs w:val="32"/>
        </w:rPr>
        <w:t>二、付款时间与方式</w:t>
      </w:r>
    </w:p>
    <w:p w14:paraId="22B277AA">
      <w:pPr>
        <w:widowControl/>
        <w:ind w:firstLine="640" w:firstLineChars="200"/>
        <w:jc w:val="left"/>
        <w:textAlignment w:val="center"/>
        <w:rPr>
          <w:rFonts w:ascii="仿宋" w:hAnsi="仿宋" w:eastAsia="仿宋" w:cs="仿宋"/>
          <w:sz w:val="32"/>
          <w:szCs w:val="32"/>
        </w:rPr>
      </w:pPr>
      <w:r>
        <w:rPr>
          <w:rFonts w:hint="eastAsia" w:ascii="仿宋" w:hAnsi="仿宋" w:eastAsia="仿宋" w:cs="仿宋"/>
          <w:sz w:val="32"/>
          <w:szCs w:val="32"/>
        </w:rPr>
        <w:t>（一）本合同总价款为人民币</w:t>
      </w:r>
      <w:r>
        <w:rPr>
          <w:rFonts w:hint="eastAsia" w:ascii="仿宋" w:hAnsi="仿宋" w:eastAsia="仿宋" w:cs="仿宋"/>
          <w:sz w:val="32"/>
          <w:szCs w:val="32"/>
          <w:u w:val="single"/>
        </w:rPr>
        <w:t xml:space="preserve">             元</w:t>
      </w:r>
      <w:r>
        <w:rPr>
          <w:rFonts w:hint="eastAsia" w:ascii="仿宋" w:hAnsi="仿宋" w:eastAsia="仿宋" w:cs="仿宋"/>
          <w:sz w:val="32"/>
          <w:szCs w:val="32"/>
        </w:rPr>
        <w:t>（大写人民币：</w:t>
      </w:r>
      <w:r>
        <w:rPr>
          <w:rFonts w:hint="eastAsia" w:ascii="仿宋" w:hAnsi="仿宋" w:eastAsia="仿宋" w:cs="仿宋"/>
          <w:sz w:val="32"/>
          <w:szCs w:val="32"/>
          <w:u w:val="single"/>
        </w:rPr>
        <w:t xml:space="preserve">            </w:t>
      </w:r>
      <w:r>
        <w:rPr>
          <w:rFonts w:hint="eastAsia" w:ascii="仿宋" w:hAnsi="仿宋" w:eastAsia="仿宋" w:cs="仿宋"/>
          <w:sz w:val="32"/>
          <w:szCs w:val="32"/>
        </w:rPr>
        <w:t>）。履约保证金为人民币</w:t>
      </w:r>
      <w:r>
        <w:rPr>
          <w:rFonts w:hint="eastAsia" w:ascii="仿宋" w:hAnsi="仿宋" w:eastAsia="仿宋" w:cs="仿宋"/>
          <w:sz w:val="32"/>
          <w:szCs w:val="32"/>
          <w:u w:val="single"/>
        </w:rPr>
        <w:t xml:space="preserve">   </w:t>
      </w:r>
      <w:r>
        <w:rPr>
          <w:rFonts w:hint="eastAsia" w:ascii="仿宋" w:hAnsi="仿宋" w:eastAsia="仿宋" w:cs="仿宋"/>
          <w:sz w:val="32"/>
          <w:szCs w:val="32"/>
        </w:rPr>
        <w:t>元（大写人民币：</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3A5683C">
      <w:pPr>
        <w:widowControl/>
        <w:ind w:firstLine="640" w:firstLineChars="200"/>
        <w:jc w:val="left"/>
        <w:textAlignment w:val="center"/>
        <w:rPr>
          <w:rFonts w:ascii="仿宋" w:hAnsi="仿宋" w:eastAsia="仿宋" w:cs="仿宋"/>
          <w:sz w:val="32"/>
          <w:szCs w:val="32"/>
        </w:rPr>
      </w:pPr>
      <w:r>
        <w:rPr>
          <w:rFonts w:hint="eastAsia" w:ascii="仿宋" w:hAnsi="仿宋" w:eastAsia="仿宋" w:cs="仿宋"/>
          <w:sz w:val="32"/>
          <w:szCs w:val="32"/>
        </w:rPr>
        <w:t>（二）本合同按照先付款后提货的付款方式，乙方应于提货前将30%货款支付到甲方指定账户，剩余货款依据实际提货进度和实际提货量缴存至甲方指定账户。</w:t>
      </w:r>
    </w:p>
    <w:p w14:paraId="6B9C9777">
      <w:pPr>
        <w:ind w:firstLine="640" w:firstLineChars="200"/>
        <w:rPr>
          <w:rFonts w:ascii="仿宋" w:hAnsi="仿宋" w:eastAsia="仿宋" w:cs="仿宋"/>
          <w:sz w:val="32"/>
          <w:szCs w:val="32"/>
        </w:rPr>
      </w:pPr>
      <w:r>
        <w:rPr>
          <w:rFonts w:hint="eastAsia" w:ascii="仿宋" w:hAnsi="仿宋" w:eastAsia="仿宋" w:cs="仿宋"/>
          <w:sz w:val="32"/>
          <w:szCs w:val="32"/>
        </w:rPr>
        <w:t>收款账户信息如下：</w:t>
      </w:r>
    </w:p>
    <w:p w14:paraId="716BAFFB">
      <w:pPr>
        <w:ind w:firstLine="640" w:firstLineChars="200"/>
        <w:rPr>
          <w:rFonts w:ascii="仿宋" w:hAnsi="仿宋" w:eastAsia="仿宋" w:cs="仿宋"/>
          <w:sz w:val="32"/>
          <w:szCs w:val="32"/>
        </w:rPr>
      </w:pPr>
      <w:r>
        <w:rPr>
          <w:rFonts w:hint="eastAsia" w:ascii="仿宋" w:hAnsi="仿宋" w:eastAsia="仿宋" w:cs="仿宋"/>
          <w:sz w:val="32"/>
          <w:szCs w:val="32"/>
        </w:rPr>
        <w:t>名称：海口市财政局财政性资金</w:t>
      </w:r>
    </w:p>
    <w:p w14:paraId="4B4B24D9">
      <w:pPr>
        <w:ind w:firstLine="640" w:firstLineChars="200"/>
        <w:rPr>
          <w:rFonts w:ascii="仿宋" w:hAnsi="仿宋" w:eastAsia="仿宋" w:cs="仿宋"/>
          <w:sz w:val="32"/>
          <w:szCs w:val="32"/>
        </w:rPr>
      </w:pPr>
      <w:r>
        <w:rPr>
          <w:rFonts w:hint="eastAsia" w:ascii="仿宋" w:hAnsi="仿宋" w:eastAsia="仿宋" w:cs="仿宋"/>
          <w:sz w:val="32"/>
          <w:szCs w:val="32"/>
        </w:rPr>
        <w:t xml:space="preserve">开户行：建行海口龙华支行  </w:t>
      </w:r>
    </w:p>
    <w:p w14:paraId="1CD16BA1">
      <w:pPr>
        <w:ind w:firstLine="640" w:firstLineChars="200"/>
        <w:rPr>
          <w:rFonts w:ascii="仿宋" w:hAnsi="仿宋" w:eastAsia="仿宋" w:cs="仿宋"/>
          <w:sz w:val="32"/>
          <w:szCs w:val="32"/>
        </w:rPr>
      </w:pPr>
      <w:r>
        <w:rPr>
          <w:rFonts w:hint="eastAsia" w:ascii="仿宋" w:hAnsi="仿宋" w:eastAsia="仿宋" w:cs="仿宋"/>
          <w:sz w:val="32"/>
          <w:szCs w:val="32"/>
        </w:rPr>
        <w:t xml:space="preserve">银行账号：46001002136050007664-0002   </w:t>
      </w:r>
    </w:p>
    <w:p w14:paraId="291ACE51">
      <w:pPr>
        <w:ind w:firstLine="640" w:firstLineChars="200"/>
        <w:rPr>
          <w:rFonts w:ascii="仿宋" w:hAnsi="仿宋" w:eastAsia="仿宋" w:cs="仿宋"/>
          <w:sz w:val="32"/>
          <w:szCs w:val="32"/>
        </w:rPr>
      </w:pPr>
      <w:r>
        <w:rPr>
          <w:rFonts w:hint="eastAsia" w:ascii="仿宋" w:hAnsi="仿宋" w:eastAsia="仿宋" w:cs="仿宋"/>
          <w:sz w:val="32"/>
          <w:szCs w:val="32"/>
        </w:rPr>
        <w:t>（三）</w:t>
      </w:r>
      <w:bookmarkStart w:id="0" w:name="OLE_LINK1"/>
      <w:r>
        <w:rPr>
          <w:rFonts w:hint="eastAsia" w:ascii="仿宋" w:hAnsi="仿宋" w:eastAsia="仿宋" w:cs="仿宋"/>
          <w:sz w:val="32"/>
          <w:szCs w:val="32"/>
        </w:rPr>
        <w:t>非税收入统一票据</w:t>
      </w:r>
    </w:p>
    <w:p w14:paraId="0469B034">
      <w:pPr>
        <w:ind w:firstLine="640" w:firstLineChars="200"/>
        <w:rPr>
          <w:rFonts w:ascii="仿宋" w:hAnsi="仿宋" w:eastAsia="仿宋" w:cs="仿宋"/>
          <w:sz w:val="32"/>
          <w:szCs w:val="32"/>
        </w:rPr>
      </w:pPr>
      <w:r>
        <w:rPr>
          <w:rFonts w:hint="eastAsia" w:ascii="仿宋" w:hAnsi="仿宋" w:eastAsia="仿宋" w:cs="仿宋"/>
          <w:sz w:val="32"/>
          <w:szCs w:val="32"/>
        </w:rPr>
        <w:t>乙方需凭成交通知书、缴款凭证、营业执照、法人身份证、缴款通知书等材料登录海南政务服务网递交相关资料进行线上办理，通过“海易办”APP或小程序进行查询并下载电子缴款书开具票据。（具体由甲方进行指导协助办理）。</w:t>
      </w:r>
      <w:bookmarkEnd w:id="0"/>
      <w:r>
        <w:rPr>
          <w:rFonts w:hint="eastAsia" w:ascii="仿宋" w:hAnsi="仿宋" w:eastAsia="仿宋" w:cs="仿宋"/>
          <w:sz w:val="32"/>
          <w:szCs w:val="32"/>
        </w:rPr>
        <w:t xml:space="preserve"> </w:t>
      </w:r>
      <w:r>
        <w:rPr>
          <w:rFonts w:hint="eastAsia" w:ascii="仿宋" w:hAnsi="仿宋" w:eastAsia="仿宋" w:cs="仿宋"/>
          <w:color w:val="FF0000"/>
          <w:sz w:val="32"/>
          <w:szCs w:val="32"/>
        </w:rPr>
        <w:t xml:space="preserve">  </w:t>
      </w:r>
    </w:p>
    <w:p w14:paraId="659965E6">
      <w:pPr>
        <w:ind w:firstLine="640" w:firstLineChars="200"/>
        <w:rPr>
          <w:rFonts w:ascii="黑体" w:hAnsi="黑体" w:eastAsia="黑体" w:cs="黑体"/>
          <w:sz w:val="32"/>
          <w:szCs w:val="32"/>
        </w:rPr>
      </w:pPr>
      <w:r>
        <w:rPr>
          <w:rFonts w:hint="eastAsia" w:ascii="黑体" w:hAnsi="黑体" w:eastAsia="黑体" w:cs="黑体"/>
          <w:sz w:val="32"/>
          <w:szCs w:val="32"/>
        </w:rPr>
        <w:t>三、交货方式、交货日期及交货地点：</w:t>
      </w:r>
    </w:p>
    <w:p w14:paraId="48E70C6F">
      <w:pPr>
        <w:ind w:firstLine="640" w:firstLineChars="200"/>
        <w:rPr>
          <w:rFonts w:ascii="仿宋" w:hAnsi="仿宋" w:eastAsia="仿宋" w:cs="仿宋"/>
          <w:sz w:val="32"/>
          <w:szCs w:val="32"/>
        </w:rPr>
      </w:pPr>
      <w:r>
        <w:rPr>
          <w:rFonts w:hint="eastAsia" w:ascii="仿宋" w:hAnsi="仿宋" w:eastAsia="仿宋" w:cs="仿宋"/>
          <w:sz w:val="32"/>
          <w:szCs w:val="32"/>
        </w:rPr>
        <w:t>（一）交货方式</w:t>
      </w:r>
    </w:p>
    <w:p w14:paraId="62D4DD08">
      <w:pPr>
        <w:ind w:firstLine="640" w:firstLineChars="200"/>
        <w:rPr>
          <w:rFonts w:ascii="仿宋" w:hAnsi="仿宋" w:eastAsia="仿宋" w:cs="仿宋"/>
          <w:sz w:val="32"/>
          <w:szCs w:val="32"/>
        </w:rPr>
      </w:pPr>
      <w:r>
        <w:rPr>
          <w:rFonts w:hint="eastAsia" w:ascii="仿宋" w:hAnsi="仿宋" w:eastAsia="仿宋" w:cs="仿宋"/>
          <w:sz w:val="32"/>
          <w:szCs w:val="32"/>
        </w:rPr>
        <w:t>提货方式按乙方到甲方指定地点自提，由乙方自行负责安排运输车辆（如无挖机配合装车，需自行安排），并承担相关费用和路面清洗费用。</w:t>
      </w:r>
    </w:p>
    <w:p w14:paraId="1B306C87">
      <w:pPr>
        <w:ind w:firstLine="640" w:firstLineChars="200"/>
        <w:rPr>
          <w:rFonts w:ascii="仿宋" w:hAnsi="仿宋" w:eastAsia="仿宋" w:cs="仿宋"/>
          <w:sz w:val="32"/>
          <w:szCs w:val="32"/>
        </w:rPr>
      </w:pPr>
      <w:r>
        <w:rPr>
          <w:rFonts w:hint="eastAsia" w:ascii="仿宋" w:hAnsi="仿宋" w:eastAsia="仿宋" w:cs="仿宋"/>
          <w:sz w:val="32"/>
          <w:szCs w:val="32"/>
        </w:rPr>
        <w:t>（二）确认收货</w:t>
      </w:r>
    </w:p>
    <w:p w14:paraId="2BC02ABF">
      <w:pPr>
        <w:ind w:firstLine="640" w:firstLineChars="200"/>
        <w:rPr>
          <w:rFonts w:ascii="仿宋" w:hAnsi="仿宋" w:eastAsia="仿宋" w:cs="仿宋"/>
          <w:sz w:val="32"/>
          <w:szCs w:val="32"/>
        </w:rPr>
      </w:pPr>
      <w:r>
        <w:rPr>
          <w:rFonts w:hint="eastAsia" w:ascii="仿宋" w:hAnsi="仿宋" w:eastAsia="仿宋" w:cs="仿宋"/>
          <w:sz w:val="32"/>
          <w:szCs w:val="32"/>
        </w:rPr>
        <w:t>乙方应提前</w:t>
      </w:r>
      <w:r>
        <w:rPr>
          <w:rFonts w:hint="eastAsia" w:ascii="仿宋" w:hAnsi="仿宋" w:eastAsia="仿宋" w:cs="Times New Roman"/>
          <w:color w:val="FF0000"/>
          <w:sz w:val="32"/>
          <w:szCs w:val="32"/>
        </w:rPr>
        <w:t>一</w:t>
      </w:r>
      <w:r>
        <w:rPr>
          <w:rFonts w:hint="eastAsia" w:ascii="仿宋" w:hAnsi="仿宋" w:eastAsia="仿宋" w:cs="仿宋"/>
          <w:sz w:val="32"/>
          <w:szCs w:val="32"/>
        </w:rPr>
        <w:t>日将运输车辆数量、司机、车辆号码、型号、运输时间等告知甲方。提货时，甲乙双方共同签字确认运输车辆及运输的</w:t>
      </w:r>
      <w:r>
        <w:rPr>
          <w:rFonts w:hint="eastAsia" w:ascii="仿宋" w:hAnsi="仿宋" w:eastAsia="仿宋" w:cs="Times New Roman"/>
          <w:color w:val="FF0000"/>
          <w:sz w:val="32"/>
          <w:szCs w:val="32"/>
        </w:rPr>
        <w:t>方量</w:t>
      </w:r>
      <w:r>
        <w:rPr>
          <w:rFonts w:hint="eastAsia" w:ascii="仿宋" w:hAnsi="仿宋" w:eastAsia="仿宋" w:cs="仿宋"/>
          <w:sz w:val="32"/>
          <w:szCs w:val="32"/>
        </w:rPr>
        <w:t>等，乙方运输车辆提货后离开甲方出货地点，即视为已交货（乙方已知晓了解，甲方供应的砂石料从部分建设工程项目中开挖产生，砂石料中含有一定水分和泥渣、土等杂质，不能作为减免费用或扣除</w:t>
      </w:r>
      <w:r>
        <w:rPr>
          <w:rFonts w:hint="eastAsia" w:ascii="仿宋" w:hAnsi="仿宋" w:eastAsia="仿宋" w:cs="Times New Roman"/>
          <w:color w:val="FF0000"/>
          <w:sz w:val="32"/>
          <w:szCs w:val="32"/>
        </w:rPr>
        <w:t>重量</w:t>
      </w:r>
      <w:r>
        <w:rPr>
          <w:rFonts w:hint="eastAsia" w:ascii="仿宋" w:hAnsi="仿宋" w:eastAsia="仿宋" w:cs="仿宋"/>
          <w:sz w:val="32"/>
          <w:szCs w:val="32"/>
        </w:rPr>
        <w:t>的依据，运输途中的损耗由乙方自行承担，乙方不能据此要求变更本合同价款）。</w:t>
      </w:r>
    </w:p>
    <w:p w14:paraId="0634A19B">
      <w:pPr>
        <w:ind w:firstLine="640" w:firstLineChars="200"/>
        <w:rPr>
          <w:rFonts w:ascii="仿宋" w:hAnsi="仿宋" w:eastAsia="仿宋" w:cs="仿宋"/>
          <w:sz w:val="32"/>
          <w:szCs w:val="32"/>
        </w:rPr>
      </w:pPr>
      <w:r>
        <w:rPr>
          <w:rFonts w:hint="eastAsia" w:ascii="仿宋" w:hAnsi="仿宋" w:eastAsia="仿宋" w:cs="仿宋"/>
          <w:sz w:val="32"/>
          <w:szCs w:val="32"/>
        </w:rPr>
        <w:t>（三）交货地点</w:t>
      </w:r>
    </w:p>
    <w:p w14:paraId="2C285DF9">
      <w:pPr>
        <w:ind w:firstLine="640" w:firstLineChars="200"/>
        <w:rPr>
          <w:rFonts w:ascii="仿宋" w:hAnsi="仿宋" w:eastAsia="仿宋" w:cs="仿宋"/>
          <w:sz w:val="32"/>
          <w:szCs w:val="32"/>
        </w:rPr>
      </w:pPr>
      <w:r>
        <w:rPr>
          <w:rFonts w:hint="eastAsia" w:ascii="仿宋" w:hAnsi="仿宋" w:eastAsia="仿宋" w:cs="仿宋"/>
          <w:sz w:val="32"/>
          <w:szCs w:val="32"/>
        </w:rPr>
        <w:t>按甲方的指定地点进行交货。</w:t>
      </w:r>
    </w:p>
    <w:p w14:paraId="23A9E8CF">
      <w:pPr>
        <w:ind w:firstLine="640" w:firstLineChars="200"/>
        <w:rPr>
          <w:rFonts w:ascii="仿宋" w:hAnsi="仿宋" w:eastAsia="仿宋" w:cs="仿宋"/>
          <w:sz w:val="32"/>
          <w:szCs w:val="32"/>
        </w:rPr>
      </w:pPr>
      <w:r>
        <w:rPr>
          <w:rFonts w:hint="eastAsia" w:ascii="仿宋" w:hAnsi="仿宋" w:eastAsia="仿宋" w:cs="仿宋"/>
          <w:sz w:val="32"/>
          <w:szCs w:val="32"/>
        </w:rPr>
        <w:t>（四）交货日期</w:t>
      </w:r>
    </w:p>
    <w:p w14:paraId="48550E63">
      <w:pPr>
        <w:ind w:firstLine="640" w:firstLineChars="200"/>
        <w:rPr>
          <w:rFonts w:ascii="仿宋" w:hAnsi="仿宋" w:eastAsia="仿宋" w:cs="仿宋"/>
          <w:sz w:val="32"/>
          <w:szCs w:val="32"/>
        </w:rPr>
      </w:pPr>
      <w:r>
        <w:rPr>
          <w:rFonts w:hint="eastAsia" w:ascii="仿宋" w:hAnsi="仿宋" w:eastAsia="仿宋" w:cs="仿宋"/>
          <w:sz w:val="32"/>
          <w:szCs w:val="32"/>
        </w:rPr>
        <w:t>1.合同签订之日起根据项目施工进度和甲方安排，乙方无条件配合提货。乙方要有收纳场所或加工场所，以便及时提货出库，不得以此为由拖延提货，如未及时提货，甲方有权扣除全部竞买履约保证金，并单方面解除合同。</w:t>
      </w:r>
    </w:p>
    <w:p w14:paraId="0215C6DB">
      <w:pPr>
        <w:ind w:firstLine="640" w:firstLineChars="200"/>
        <w:rPr>
          <w:rFonts w:ascii="仿宋" w:hAnsi="仿宋" w:eastAsia="仿宋" w:cs="仿宋"/>
          <w:sz w:val="32"/>
          <w:szCs w:val="32"/>
        </w:rPr>
      </w:pPr>
      <w:r>
        <w:rPr>
          <w:rFonts w:hint="eastAsia" w:ascii="仿宋" w:hAnsi="仿宋" w:eastAsia="仿宋" w:cs="仿宋"/>
          <w:sz w:val="32"/>
          <w:szCs w:val="32"/>
        </w:rPr>
        <w:t>2.如无不可抗力因素，乙方故意拖延提货时间，甲方有权扣除合同履约保证金，情节严重的甲方有权扣除全部竞买履约保证金并解除合同。</w:t>
      </w:r>
    </w:p>
    <w:p w14:paraId="187A7FB3">
      <w:pPr>
        <w:numPr>
          <w:ilvl w:val="0"/>
          <w:numId w:val="1"/>
        </w:numPr>
        <w:ind w:firstLine="640" w:firstLineChars="200"/>
        <w:rPr>
          <w:rFonts w:ascii="仿宋" w:hAnsi="仿宋" w:eastAsia="仿宋" w:cs="仿宋"/>
          <w:color w:val="FF0000"/>
          <w:sz w:val="32"/>
          <w:szCs w:val="32"/>
        </w:rPr>
      </w:pPr>
      <w:r>
        <w:rPr>
          <w:rFonts w:hint="eastAsia" w:ascii="仿宋" w:hAnsi="仿宋" w:eastAsia="仿宋" w:cs="仿宋"/>
          <w:color w:val="FF0000"/>
          <w:sz w:val="32"/>
          <w:szCs w:val="32"/>
        </w:rPr>
        <w:t>提货延迟</w:t>
      </w:r>
    </w:p>
    <w:p w14:paraId="2E81BC17">
      <w:pPr>
        <w:ind w:firstLine="640" w:firstLineChars="200"/>
        <w:rPr>
          <w:rFonts w:ascii="仿宋" w:hAnsi="仿宋" w:eastAsia="仿宋" w:cs="仿宋"/>
          <w:color w:val="FF0000"/>
          <w:sz w:val="32"/>
          <w:szCs w:val="32"/>
        </w:rPr>
      </w:pPr>
      <w:r>
        <w:rPr>
          <w:rFonts w:hint="eastAsia" w:ascii="仿宋" w:hAnsi="仿宋" w:eastAsia="仿宋" w:cs="仿宋"/>
          <w:color w:val="FF0000"/>
          <w:sz w:val="32"/>
          <w:szCs w:val="32"/>
        </w:rPr>
        <w:t>上述项目工期紧（以项目实际情况为准），非特殊情况下，每天须安排运输车辆收储，每天提货量应根据项目实际土方开挖量确定（具体以本公司计划为准）。因乙方原因未按本公司计划提货出库，每次扣罚合同履约保证金的10%，连续扣罚5次后则解除合同。</w:t>
      </w:r>
    </w:p>
    <w:p w14:paraId="42198277">
      <w:pPr>
        <w:ind w:firstLine="640" w:firstLineChars="200"/>
        <w:rPr>
          <w:rFonts w:ascii="黑体" w:hAnsi="黑体" w:eastAsia="黑体" w:cs="黑体"/>
          <w:sz w:val="32"/>
          <w:szCs w:val="32"/>
        </w:rPr>
      </w:pPr>
      <w:r>
        <w:rPr>
          <w:rFonts w:hint="eastAsia" w:ascii="黑体" w:hAnsi="黑体" w:eastAsia="黑体" w:cs="黑体"/>
          <w:sz w:val="32"/>
          <w:szCs w:val="32"/>
        </w:rPr>
        <w:t>四、双方的权利义务</w:t>
      </w:r>
    </w:p>
    <w:p w14:paraId="67AEED57">
      <w:pPr>
        <w:ind w:firstLine="640" w:firstLineChars="200"/>
        <w:rPr>
          <w:rFonts w:ascii="仿宋" w:hAnsi="仿宋" w:eastAsia="仿宋" w:cs="仿宋"/>
          <w:sz w:val="32"/>
          <w:szCs w:val="32"/>
        </w:rPr>
      </w:pPr>
      <w:r>
        <w:rPr>
          <w:rFonts w:hint="eastAsia" w:ascii="仿宋" w:hAnsi="仿宋" w:eastAsia="仿宋" w:cs="仿宋"/>
          <w:sz w:val="32"/>
          <w:szCs w:val="32"/>
        </w:rPr>
        <w:t>（一）甲方的权利义务</w:t>
      </w:r>
    </w:p>
    <w:p w14:paraId="3CD401D7">
      <w:pPr>
        <w:ind w:firstLine="640" w:firstLineChars="200"/>
        <w:rPr>
          <w:rFonts w:ascii="仿宋" w:hAnsi="仿宋" w:eastAsia="仿宋" w:cs="仿宋"/>
          <w:sz w:val="32"/>
          <w:szCs w:val="32"/>
        </w:rPr>
      </w:pPr>
      <w:r>
        <w:rPr>
          <w:rFonts w:hint="eastAsia" w:ascii="仿宋" w:hAnsi="仿宋" w:eastAsia="仿宋" w:cs="仿宋"/>
          <w:sz w:val="32"/>
          <w:szCs w:val="32"/>
        </w:rPr>
        <w:t>1.保证砂石料相关手续合法。</w:t>
      </w:r>
    </w:p>
    <w:p w14:paraId="2C5769C7">
      <w:pPr>
        <w:ind w:firstLine="640" w:firstLineChars="200"/>
        <w:rPr>
          <w:rFonts w:ascii="仿宋" w:hAnsi="仿宋" w:eastAsia="仿宋" w:cs="仿宋"/>
          <w:sz w:val="32"/>
          <w:szCs w:val="32"/>
        </w:rPr>
      </w:pPr>
      <w:r>
        <w:rPr>
          <w:rFonts w:hint="eastAsia" w:ascii="仿宋" w:hAnsi="仿宋" w:eastAsia="仿宋" w:cs="仿宋"/>
          <w:sz w:val="32"/>
          <w:szCs w:val="32"/>
        </w:rPr>
        <w:t>2.甲方按照本合同约定供应并销售砂石料。</w:t>
      </w:r>
    </w:p>
    <w:p w14:paraId="3081B483">
      <w:pPr>
        <w:ind w:firstLine="640" w:firstLineChars="200"/>
        <w:rPr>
          <w:rFonts w:ascii="仿宋" w:hAnsi="仿宋" w:eastAsia="仿宋" w:cs="仿宋"/>
          <w:sz w:val="32"/>
          <w:szCs w:val="32"/>
        </w:rPr>
      </w:pPr>
      <w:r>
        <w:rPr>
          <w:rFonts w:hint="eastAsia" w:ascii="仿宋" w:hAnsi="仿宋" w:eastAsia="仿宋" w:cs="仿宋"/>
          <w:sz w:val="32"/>
          <w:szCs w:val="32"/>
        </w:rPr>
        <w:t>3.有权按照协议约定取得销售款项。</w:t>
      </w:r>
    </w:p>
    <w:p w14:paraId="7AF6C86C">
      <w:pPr>
        <w:ind w:firstLine="640" w:firstLineChars="200"/>
        <w:rPr>
          <w:rFonts w:ascii="仿宋" w:hAnsi="仿宋" w:eastAsia="仿宋" w:cs="仿宋"/>
          <w:sz w:val="32"/>
          <w:szCs w:val="32"/>
        </w:rPr>
      </w:pPr>
      <w:r>
        <w:rPr>
          <w:rFonts w:hint="eastAsia" w:ascii="仿宋" w:hAnsi="仿宋" w:eastAsia="仿宋" w:cs="仿宋"/>
          <w:sz w:val="32"/>
          <w:szCs w:val="32"/>
        </w:rPr>
        <w:t>4.甲方有权从履约保证金中直接扣除乙方应承担的违约金及赔偿款等费用。</w:t>
      </w:r>
    </w:p>
    <w:p w14:paraId="6873D855">
      <w:pPr>
        <w:ind w:firstLine="640" w:firstLineChars="200"/>
        <w:rPr>
          <w:rFonts w:ascii="仿宋" w:hAnsi="仿宋" w:eastAsia="仿宋" w:cs="仿宋"/>
          <w:sz w:val="32"/>
          <w:szCs w:val="32"/>
        </w:rPr>
      </w:pPr>
      <w:r>
        <w:rPr>
          <w:rFonts w:hint="eastAsia" w:ascii="仿宋" w:hAnsi="仿宋" w:eastAsia="仿宋" w:cs="仿宋"/>
          <w:sz w:val="32"/>
          <w:szCs w:val="32"/>
        </w:rPr>
        <w:t>（二）乙方的权利义务</w:t>
      </w:r>
    </w:p>
    <w:p w14:paraId="3F3F33E2">
      <w:pPr>
        <w:ind w:firstLine="640" w:firstLineChars="200"/>
        <w:rPr>
          <w:rFonts w:ascii="仿宋" w:hAnsi="仿宋" w:eastAsia="仿宋" w:cs="仿宋"/>
          <w:sz w:val="32"/>
          <w:szCs w:val="32"/>
        </w:rPr>
      </w:pPr>
      <w:r>
        <w:rPr>
          <w:rFonts w:hint="eastAsia" w:ascii="仿宋" w:hAnsi="仿宋" w:eastAsia="仿宋" w:cs="仿宋"/>
          <w:sz w:val="32"/>
          <w:szCs w:val="32"/>
        </w:rPr>
        <w:t>1．按本协议约定按时支付本协议价款。</w:t>
      </w:r>
    </w:p>
    <w:p w14:paraId="76B63A5E">
      <w:pPr>
        <w:ind w:firstLine="640" w:firstLineChars="200"/>
        <w:rPr>
          <w:rFonts w:ascii="仿宋" w:hAnsi="仿宋" w:eastAsia="仿宋" w:cs="仿宋"/>
          <w:sz w:val="32"/>
          <w:szCs w:val="32"/>
        </w:rPr>
      </w:pPr>
      <w:r>
        <w:rPr>
          <w:rFonts w:hint="eastAsia" w:ascii="仿宋" w:hAnsi="仿宋" w:eastAsia="仿宋" w:cs="仿宋"/>
          <w:sz w:val="32"/>
          <w:szCs w:val="32"/>
        </w:rPr>
        <w:t>2. 在交货前，乙方确认甲方所售砂石料质量完全符合乙方使用需求，对甲方所售砂石料质量无任何异议，不会就砂石料质量提出任何有异议或以其他理由否定砂石料质量，并提出权利要求。</w:t>
      </w:r>
    </w:p>
    <w:p w14:paraId="47EA1D1D">
      <w:pPr>
        <w:ind w:firstLine="640" w:firstLineChars="200"/>
        <w:rPr>
          <w:rFonts w:ascii="仿宋" w:hAnsi="仿宋" w:eastAsia="仿宋" w:cs="仿宋"/>
          <w:sz w:val="32"/>
          <w:szCs w:val="32"/>
        </w:rPr>
      </w:pPr>
      <w:r>
        <w:rPr>
          <w:rFonts w:hint="eastAsia" w:ascii="仿宋" w:hAnsi="仿宋" w:eastAsia="仿宋" w:cs="仿宋"/>
          <w:sz w:val="32"/>
          <w:szCs w:val="32"/>
        </w:rPr>
        <w:t>3.交货后运输车辆运输过程中违反国家运输管理规定超载、超限运输，违反相关交通规定造成交通事故等导致甲方的一切损失，均由乙方全部承担，甲方有权从履约保证金中扣除损失。</w:t>
      </w:r>
    </w:p>
    <w:p w14:paraId="7B6BA9D6">
      <w:pPr>
        <w:ind w:firstLine="640" w:firstLineChars="200"/>
        <w:rPr>
          <w:rFonts w:ascii="仿宋" w:hAnsi="仿宋" w:eastAsia="仿宋" w:cs="仿宋"/>
          <w:sz w:val="32"/>
          <w:szCs w:val="32"/>
        </w:rPr>
      </w:pPr>
      <w:r>
        <w:rPr>
          <w:rFonts w:hint="eastAsia" w:ascii="仿宋" w:hAnsi="仿宋" w:eastAsia="仿宋" w:cs="仿宋"/>
          <w:sz w:val="32"/>
          <w:szCs w:val="32"/>
        </w:rPr>
        <w:t>4.乙方人员因履行本合同项下工作所遭受的工伤、造成的任何人身损害以及财产损失，由乙方自行承担，与甲方无关。如由此造成甲方承担责任的，甲方有权向乙方追偿。</w:t>
      </w:r>
    </w:p>
    <w:p w14:paraId="6C5F81CF">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5.乙方收储车辆若发生未开票私自外运、冲卡、偷盗砂石资源等违法违规行为：</w:t>
      </w:r>
    </w:p>
    <w:p w14:paraId="2703C0D6">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首次发现：甲方有权发出书面警示；乙方应立即停止违规行为，按甲方全部实际损失（包括但不限于砂石资源损失、管理成本等）的三倍金额赔偿给甲方，并向甲方支付履约保证金的30%作为违约金。</w:t>
      </w:r>
    </w:p>
    <w:p w14:paraId="5609951A">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第二次及以上发现：甲方有权全额没收乙方全部履约保证金，并单方解除本合作协议；同时，乙方仍需三倍金额赔偿甲方全部实际损失。甲方有权将乙方列入合作黑名单，三年内不再与其及关联方开展任何合作。</w:t>
      </w:r>
    </w:p>
    <w:p w14:paraId="48A9EB99">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乙方上述行为涉嫌违法犯罪的，甲方有权移交司法机关追究刑事责任，且不免除乙方民事赔偿责任。</w:t>
      </w:r>
    </w:p>
    <w:p w14:paraId="39C02EAA">
      <w:pPr>
        <w:ind w:firstLine="640" w:firstLineChars="200"/>
        <w:rPr>
          <w:rFonts w:ascii="黑体" w:hAnsi="黑体" w:eastAsia="黑体" w:cs="黑体"/>
          <w:sz w:val="32"/>
          <w:szCs w:val="32"/>
        </w:rPr>
      </w:pPr>
      <w:r>
        <w:rPr>
          <w:rFonts w:hint="eastAsia" w:ascii="黑体" w:hAnsi="黑体" w:eastAsia="黑体" w:cs="黑体"/>
          <w:sz w:val="32"/>
          <w:szCs w:val="32"/>
        </w:rPr>
        <w:t>五、违约责任</w:t>
      </w:r>
    </w:p>
    <w:p w14:paraId="1CCB00AF">
      <w:pPr>
        <w:ind w:firstLine="640" w:firstLineChars="200"/>
        <w:rPr>
          <w:rFonts w:ascii="仿宋" w:hAnsi="仿宋" w:eastAsia="仿宋" w:cs="仿宋"/>
          <w:sz w:val="32"/>
          <w:szCs w:val="32"/>
        </w:rPr>
      </w:pPr>
      <w:r>
        <w:rPr>
          <w:rFonts w:hint="eastAsia" w:ascii="仿宋" w:hAnsi="仿宋" w:eastAsia="仿宋" w:cs="仿宋"/>
          <w:sz w:val="32"/>
          <w:szCs w:val="32"/>
        </w:rPr>
        <w:t>（一）因甲方主观原因造成未能按本协议约定提供砂石料的，甲方应承担违约责任。</w:t>
      </w:r>
    </w:p>
    <w:p w14:paraId="32E5F3A5">
      <w:pPr>
        <w:ind w:firstLine="640" w:firstLineChars="200"/>
        <w:rPr>
          <w:rFonts w:ascii="仿宋" w:hAnsi="仿宋" w:eastAsia="仿宋" w:cs="仿宋"/>
          <w:sz w:val="32"/>
          <w:szCs w:val="32"/>
        </w:rPr>
      </w:pPr>
      <w:r>
        <w:rPr>
          <w:rFonts w:hint="eastAsia" w:ascii="仿宋" w:hAnsi="仿宋" w:eastAsia="仿宋" w:cs="仿宋"/>
          <w:sz w:val="32"/>
          <w:szCs w:val="32"/>
        </w:rPr>
        <w:t>（二）乙方不按本协议约定及时付款，甲方有权解除本协议，并要求乙方赔偿因违约给甲方造成的经济损失，甲方有权将砂石料销售给第三方，乙方无任何异议。</w:t>
      </w:r>
    </w:p>
    <w:p w14:paraId="3AC0D204">
      <w:pPr>
        <w:ind w:firstLine="640" w:firstLineChars="200"/>
        <w:rPr>
          <w:rFonts w:ascii="仿宋" w:hAnsi="仿宋" w:eastAsia="仿宋" w:cs="仿宋"/>
          <w:sz w:val="32"/>
          <w:szCs w:val="32"/>
        </w:rPr>
      </w:pPr>
      <w:r>
        <w:rPr>
          <w:rFonts w:hint="eastAsia" w:ascii="仿宋" w:hAnsi="仿宋" w:eastAsia="仿宋" w:cs="仿宋"/>
          <w:sz w:val="32"/>
          <w:szCs w:val="32"/>
        </w:rPr>
        <w:t>（三）乙方所购砂石料离开交货地点后视为提货结束，离场后发生的一切后果均由乙方自行承担，概与甲方无关。</w:t>
      </w:r>
    </w:p>
    <w:p w14:paraId="1245AB76">
      <w:pPr>
        <w:ind w:firstLine="640" w:firstLineChars="200"/>
        <w:rPr>
          <w:rFonts w:ascii="仿宋" w:hAnsi="仿宋" w:eastAsia="仿宋" w:cs="仿宋"/>
          <w:sz w:val="32"/>
          <w:szCs w:val="32"/>
        </w:rPr>
      </w:pPr>
      <w:r>
        <w:rPr>
          <w:rFonts w:hint="eastAsia" w:ascii="仿宋" w:hAnsi="仿宋" w:eastAsia="仿宋" w:cs="仿宋"/>
          <w:sz w:val="32"/>
          <w:szCs w:val="32"/>
        </w:rPr>
        <w:t>（四）本合同因乙方原因提前终止或解除的，甲乙双方据实结算，乙方已支付的费用多退少补，甲方有权没收履约保证金，甲方有权将砂石料销售给第三方，乙方无任何异议。</w:t>
      </w:r>
    </w:p>
    <w:p w14:paraId="15CF96B3">
      <w:pPr>
        <w:ind w:firstLine="640" w:firstLineChars="200"/>
        <w:rPr>
          <w:rFonts w:ascii="黑体" w:hAnsi="黑体" w:eastAsia="黑体" w:cs="黑体"/>
          <w:sz w:val="32"/>
          <w:szCs w:val="32"/>
        </w:rPr>
      </w:pPr>
      <w:r>
        <w:rPr>
          <w:rFonts w:hint="eastAsia" w:ascii="黑体" w:hAnsi="黑体" w:eastAsia="黑体" w:cs="黑体"/>
          <w:sz w:val="32"/>
          <w:szCs w:val="32"/>
        </w:rPr>
        <w:t>六、其他</w:t>
      </w:r>
    </w:p>
    <w:p w14:paraId="57D519C8">
      <w:pPr>
        <w:ind w:firstLine="640" w:firstLineChars="200"/>
        <w:rPr>
          <w:rFonts w:ascii="仿宋" w:hAnsi="仿宋" w:eastAsia="仿宋" w:cs="仿宋"/>
          <w:sz w:val="32"/>
          <w:szCs w:val="32"/>
        </w:rPr>
      </w:pPr>
      <w:r>
        <w:rPr>
          <w:rFonts w:hint="eastAsia" w:ascii="仿宋" w:hAnsi="仿宋" w:eastAsia="仿宋" w:cs="仿宋"/>
          <w:sz w:val="32"/>
          <w:szCs w:val="32"/>
        </w:rPr>
        <w:t>（一）本合同附件为本合同组成部分，与本合同效力等同。</w:t>
      </w:r>
    </w:p>
    <w:p w14:paraId="254AF5CF">
      <w:pPr>
        <w:ind w:firstLine="640" w:firstLineChars="200"/>
        <w:rPr>
          <w:rFonts w:ascii="仿宋" w:hAnsi="仿宋" w:eastAsia="仿宋" w:cs="仿宋"/>
          <w:sz w:val="32"/>
          <w:szCs w:val="32"/>
        </w:rPr>
      </w:pPr>
      <w:r>
        <w:rPr>
          <w:rFonts w:hint="eastAsia" w:ascii="仿宋" w:hAnsi="仿宋" w:eastAsia="仿宋" w:cs="仿宋"/>
          <w:sz w:val="32"/>
          <w:szCs w:val="32"/>
        </w:rPr>
        <w:t>（二）如因不可抗力原因导致本合同无法继续履行，由甲乙双方据实进行“钱货两清”后本合同自行解除。</w:t>
      </w:r>
    </w:p>
    <w:p w14:paraId="47C4CC1B">
      <w:pPr>
        <w:ind w:firstLine="640" w:firstLineChars="200"/>
        <w:rPr>
          <w:rFonts w:ascii="仿宋" w:hAnsi="仿宋" w:eastAsia="仿宋" w:cs="仿宋"/>
          <w:sz w:val="32"/>
          <w:szCs w:val="32"/>
        </w:rPr>
      </w:pPr>
      <w:r>
        <w:rPr>
          <w:rFonts w:hint="eastAsia" w:ascii="仿宋" w:hAnsi="仿宋" w:eastAsia="仿宋" w:cs="仿宋"/>
          <w:sz w:val="32"/>
          <w:szCs w:val="32"/>
        </w:rPr>
        <w:t>（三）本合同经甲乙双方签字盖章后生效。本合同履行中的争议，由双方协商解决。协商不成时，任一方可向甲方所在地有管辖权的人民法院起诉。因诉讼产生的律师费、诉讼费、保全费等一切费用均由责任方承担。</w:t>
      </w:r>
    </w:p>
    <w:p w14:paraId="63D713B4">
      <w:pPr>
        <w:ind w:firstLine="640" w:firstLineChars="200"/>
        <w:rPr>
          <w:rFonts w:ascii="仿宋" w:hAnsi="仿宋" w:eastAsia="仿宋" w:cs="仿宋"/>
          <w:sz w:val="32"/>
          <w:szCs w:val="32"/>
        </w:rPr>
      </w:pPr>
      <w:r>
        <w:rPr>
          <w:rFonts w:hint="eastAsia" w:ascii="仿宋" w:hAnsi="仿宋" w:eastAsia="仿宋" w:cs="仿宋"/>
          <w:sz w:val="32"/>
          <w:szCs w:val="32"/>
        </w:rPr>
        <w:t>（四）本合同一式伍份，甲方持叁份，乙方持贰份，效力等同。</w:t>
      </w:r>
    </w:p>
    <w:p w14:paraId="4D1BCFCF">
      <w:pPr>
        <w:rPr>
          <w:rFonts w:ascii="仿宋" w:hAnsi="仿宋" w:eastAsia="仿宋" w:cs="仿宋"/>
          <w:sz w:val="32"/>
          <w:szCs w:val="32"/>
        </w:rPr>
      </w:pPr>
    </w:p>
    <w:p w14:paraId="3F0015DC">
      <w:pPr>
        <w:rPr>
          <w:rFonts w:ascii="仿宋" w:hAnsi="仿宋" w:eastAsia="仿宋" w:cs="仿宋"/>
          <w:sz w:val="32"/>
          <w:szCs w:val="32"/>
        </w:rPr>
      </w:pPr>
      <w:r>
        <w:rPr>
          <w:rFonts w:hint="eastAsia" w:ascii="仿宋" w:hAnsi="仿宋" w:eastAsia="仿宋" w:cs="仿宋"/>
          <w:sz w:val="32"/>
          <w:szCs w:val="32"/>
        </w:rPr>
        <w:t>甲方：海口市生态环境建设投资有限公司（卖方）</w:t>
      </w:r>
    </w:p>
    <w:p w14:paraId="015374B7">
      <w:pPr>
        <w:rPr>
          <w:rFonts w:ascii="仿宋" w:hAnsi="仿宋" w:eastAsia="仿宋" w:cs="仿宋"/>
          <w:sz w:val="32"/>
          <w:szCs w:val="32"/>
        </w:rPr>
      </w:pPr>
      <w:r>
        <w:rPr>
          <w:rFonts w:hint="eastAsia" w:ascii="仿宋" w:hAnsi="仿宋" w:eastAsia="仿宋" w:cs="仿宋"/>
          <w:sz w:val="32"/>
          <w:szCs w:val="32"/>
        </w:rPr>
        <w:t>法定代表人（授权委托人）：</w:t>
      </w:r>
    </w:p>
    <w:p w14:paraId="79B13125">
      <w:pPr>
        <w:rPr>
          <w:rFonts w:ascii="仿宋" w:hAnsi="仿宋" w:eastAsia="仿宋" w:cs="仿宋"/>
          <w:sz w:val="32"/>
          <w:szCs w:val="32"/>
        </w:rPr>
      </w:pPr>
      <w:r>
        <w:rPr>
          <w:rFonts w:hint="eastAsia" w:ascii="仿宋" w:hAnsi="仿宋" w:eastAsia="仿宋" w:cs="仿宋"/>
          <w:sz w:val="32"/>
          <w:szCs w:val="32"/>
        </w:rPr>
        <w:t>联系人：</w:t>
      </w:r>
    </w:p>
    <w:p w14:paraId="1DB76024">
      <w:pPr>
        <w:rPr>
          <w:rFonts w:ascii="仿宋" w:hAnsi="仿宋" w:eastAsia="仿宋" w:cs="仿宋"/>
          <w:sz w:val="32"/>
          <w:szCs w:val="32"/>
        </w:rPr>
      </w:pPr>
      <w:r>
        <w:rPr>
          <w:rFonts w:hint="eastAsia" w:ascii="仿宋" w:hAnsi="仿宋" w:eastAsia="仿宋" w:cs="仿宋"/>
          <w:sz w:val="32"/>
          <w:szCs w:val="32"/>
        </w:rPr>
        <w:t>联系方式：0898-66713105</w:t>
      </w:r>
    </w:p>
    <w:p w14:paraId="1EF0024C">
      <w:pPr>
        <w:rPr>
          <w:rFonts w:ascii="仿宋" w:hAnsi="仿宋" w:eastAsia="仿宋" w:cs="仿宋"/>
          <w:sz w:val="32"/>
          <w:szCs w:val="32"/>
        </w:rPr>
      </w:pPr>
      <w:r>
        <w:rPr>
          <w:rFonts w:hint="eastAsia" w:ascii="仿宋" w:hAnsi="仿宋" w:eastAsia="仿宋" w:cs="仿宋"/>
          <w:sz w:val="32"/>
          <w:szCs w:val="32"/>
        </w:rPr>
        <w:t xml:space="preserve">送达地址：海南省海口市龙华区海秀中路84号海口市龙华数字经济产业园4号楼5层环投公司（513经营部) </w:t>
      </w:r>
    </w:p>
    <w:p w14:paraId="7894E071">
      <w:pPr>
        <w:rPr>
          <w:rFonts w:ascii="仿宋" w:hAnsi="仿宋" w:eastAsia="仿宋" w:cs="仿宋"/>
          <w:sz w:val="32"/>
          <w:szCs w:val="32"/>
        </w:rPr>
      </w:pPr>
    </w:p>
    <w:p w14:paraId="02735028">
      <w:pPr>
        <w:rPr>
          <w:rFonts w:ascii="仿宋" w:hAnsi="仿宋" w:eastAsia="仿宋" w:cs="仿宋"/>
          <w:sz w:val="32"/>
          <w:szCs w:val="32"/>
        </w:rPr>
      </w:pPr>
      <w:r>
        <w:rPr>
          <w:rFonts w:hint="eastAsia" w:ascii="仿宋" w:hAnsi="仿宋" w:eastAsia="仿宋" w:cs="仿宋"/>
          <w:sz w:val="32"/>
          <w:szCs w:val="32"/>
        </w:rPr>
        <w:t>乙方：（买方）</w:t>
      </w:r>
    </w:p>
    <w:p w14:paraId="1CD6C0D0">
      <w:pPr>
        <w:rPr>
          <w:rFonts w:ascii="仿宋" w:hAnsi="仿宋" w:eastAsia="仿宋" w:cs="仿宋"/>
          <w:sz w:val="32"/>
          <w:szCs w:val="32"/>
        </w:rPr>
      </w:pPr>
      <w:r>
        <w:rPr>
          <w:rFonts w:hint="eastAsia" w:ascii="仿宋" w:hAnsi="仿宋" w:eastAsia="仿宋" w:cs="仿宋"/>
          <w:sz w:val="32"/>
          <w:szCs w:val="32"/>
        </w:rPr>
        <w:t>法定代表人（授权委托人）：</w:t>
      </w:r>
    </w:p>
    <w:p w14:paraId="75AF9A78">
      <w:pPr>
        <w:rPr>
          <w:rFonts w:ascii="仿宋" w:hAnsi="仿宋" w:eastAsia="仿宋" w:cs="仿宋"/>
          <w:sz w:val="32"/>
          <w:szCs w:val="32"/>
        </w:rPr>
      </w:pPr>
      <w:r>
        <w:rPr>
          <w:rFonts w:hint="eastAsia" w:ascii="仿宋" w:hAnsi="仿宋" w:eastAsia="仿宋" w:cs="仿宋"/>
          <w:sz w:val="32"/>
          <w:szCs w:val="32"/>
        </w:rPr>
        <w:t>联系人：</w:t>
      </w:r>
    </w:p>
    <w:p w14:paraId="6CC5D332">
      <w:pPr>
        <w:rPr>
          <w:rFonts w:ascii="仿宋" w:hAnsi="仿宋" w:eastAsia="仿宋" w:cs="仿宋"/>
          <w:sz w:val="32"/>
          <w:szCs w:val="32"/>
        </w:rPr>
      </w:pPr>
      <w:r>
        <w:rPr>
          <w:rFonts w:hint="eastAsia" w:ascii="仿宋" w:hAnsi="仿宋" w:eastAsia="仿宋" w:cs="仿宋"/>
          <w:sz w:val="32"/>
          <w:szCs w:val="32"/>
        </w:rPr>
        <w:t>联系方式：</w:t>
      </w:r>
    </w:p>
    <w:p w14:paraId="7C440AB0">
      <w:pPr>
        <w:rPr>
          <w:rFonts w:ascii="仿宋" w:hAnsi="仿宋" w:eastAsia="仿宋" w:cs="仿宋"/>
          <w:sz w:val="32"/>
          <w:szCs w:val="32"/>
        </w:rPr>
      </w:pPr>
      <w:r>
        <w:rPr>
          <w:rFonts w:hint="eastAsia" w:ascii="仿宋" w:hAnsi="仿宋" w:eastAsia="仿宋" w:cs="仿宋"/>
          <w:sz w:val="32"/>
          <w:szCs w:val="32"/>
        </w:rPr>
        <w:t>送达地址：</w:t>
      </w:r>
    </w:p>
    <w:p w14:paraId="595B06EF">
      <w:pPr>
        <w:rPr>
          <w:rFonts w:ascii="仿宋" w:hAnsi="仿宋" w:eastAsia="仿宋" w:cs="仿宋"/>
        </w:rPr>
      </w:pPr>
      <w:r>
        <w:rPr>
          <w:rFonts w:hint="eastAsia" w:ascii="仿宋" w:hAnsi="仿宋" w:eastAsia="仿宋" w:cs="仿宋"/>
          <w:sz w:val="32"/>
          <w:szCs w:val="32"/>
        </w:rPr>
        <w:t xml:space="preserve">                              签订日期：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FC47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6D4A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3C6D4A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5DAEF"/>
    <w:multiLevelType w:val="singleLevel"/>
    <w:tmpl w:val="31B5DAE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OGY5ZDllZWU1ZDZhMmMwZjgyYTlkNDZjN2I1NjMifQ=="/>
  </w:docVars>
  <w:rsids>
    <w:rsidRoot w:val="00D0483C"/>
    <w:rsid w:val="0004570C"/>
    <w:rsid w:val="001467A7"/>
    <w:rsid w:val="00156B36"/>
    <w:rsid w:val="00425DE7"/>
    <w:rsid w:val="00547229"/>
    <w:rsid w:val="00560437"/>
    <w:rsid w:val="00581808"/>
    <w:rsid w:val="00AC72E7"/>
    <w:rsid w:val="00D0483C"/>
    <w:rsid w:val="00EF10CF"/>
    <w:rsid w:val="00F720F8"/>
    <w:rsid w:val="00FA466E"/>
    <w:rsid w:val="012C20C9"/>
    <w:rsid w:val="024628EA"/>
    <w:rsid w:val="028B5B8F"/>
    <w:rsid w:val="02B701ED"/>
    <w:rsid w:val="02E1609B"/>
    <w:rsid w:val="03087600"/>
    <w:rsid w:val="03655749"/>
    <w:rsid w:val="03BD28F3"/>
    <w:rsid w:val="04833914"/>
    <w:rsid w:val="04A01725"/>
    <w:rsid w:val="05890050"/>
    <w:rsid w:val="05F367E3"/>
    <w:rsid w:val="064864F9"/>
    <w:rsid w:val="07F30FA6"/>
    <w:rsid w:val="08135BF2"/>
    <w:rsid w:val="081A3F5B"/>
    <w:rsid w:val="08EB57BC"/>
    <w:rsid w:val="09C36515"/>
    <w:rsid w:val="0D676933"/>
    <w:rsid w:val="0D912C94"/>
    <w:rsid w:val="0E5510F5"/>
    <w:rsid w:val="142B6186"/>
    <w:rsid w:val="1466038B"/>
    <w:rsid w:val="14BD6892"/>
    <w:rsid w:val="169D350D"/>
    <w:rsid w:val="16D22831"/>
    <w:rsid w:val="17837B2B"/>
    <w:rsid w:val="1BAD29F5"/>
    <w:rsid w:val="1BB276FE"/>
    <w:rsid w:val="1DA41A5D"/>
    <w:rsid w:val="1DC74532"/>
    <w:rsid w:val="20730115"/>
    <w:rsid w:val="21397802"/>
    <w:rsid w:val="23661981"/>
    <w:rsid w:val="24F66C49"/>
    <w:rsid w:val="258059F5"/>
    <w:rsid w:val="25E95382"/>
    <w:rsid w:val="26330FED"/>
    <w:rsid w:val="26914FAD"/>
    <w:rsid w:val="29E444FF"/>
    <w:rsid w:val="2A0143FB"/>
    <w:rsid w:val="2A2655B6"/>
    <w:rsid w:val="2AA51E34"/>
    <w:rsid w:val="2C4A31A6"/>
    <w:rsid w:val="2D2A3DC7"/>
    <w:rsid w:val="2E0827FD"/>
    <w:rsid w:val="2E3927E2"/>
    <w:rsid w:val="2F8E265A"/>
    <w:rsid w:val="302226A6"/>
    <w:rsid w:val="30851729"/>
    <w:rsid w:val="30ED4FD4"/>
    <w:rsid w:val="31522F4F"/>
    <w:rsid w:val="315F3AA1"/>
    <w:rsid w:val="331E4606"/>
    <w:rsid w:val="3358435F"/>
    <w:rsid w:val="36805B15"/>
    <w:rsid w:val="36C74EBC"/>
    <w:rsid w:val="36E9494E"/>
    <w:rsid w:val="378D1FFC"/>
    <w:rsid w:val="3939773A"/>
    <w:rsid w:val="395F00FB"/>
    <w:rsid w:val="3A2D0EF8"/>
    <w:rsid w:val="3A4B3633"/>
    <w:rsid w:val="3A800389"/>
    <w:rsid w:val="3DCB2996"/>
    <w:rsid w:val="403010D9"/>
    <w:rsid w:val="431F5EE2"/>
    <w:rsid w:val="44132B17"/>
    <w:rsid w:val="451A4095"/>
    <w:rsid w:val="45475642"/>
    <w:rsid w:val="45B0535B"/>
    <w:rsid w:val="48E9378B"/>
    <w:rsid w:val="49E97C41"/>
    <w:rsid w:val="4BD42F98"/>
    <w:rsid w:val="4CE42EB7"/>
    <w:rsid w:val="4F5E6B5A"/>
    <w:rsid w:val="4FE71CC6"/>
    <w:rsid w:val="4FFE04B0"/>
    <w:rsid w:val="50B377D1"/>
    <w:rsid w:val="532237CB"/>
    <w:rsid w:val="535E3E45"/>
    <w:rsid w:val="539C17BD"/>
    <w:rsid w:val="53D12BF2"/>
    <w:rsid w:val="54C02834"/>
    <w:rsid w:val="54E37454"/>
    <w:rsid w:val="55191A1B"/>
    <w:rsid w:val="55CC6FE2"/>
    <w:rsid w:val="56373FA2"/>
    <w:rsid w:val="5A694F5C"/>
    <w:rsid w:val="5AE4166D"/>
    <w:rsid w:val="5D9F6388"/>
    <w:rsid w:val="5E283648"/>
    <w:rsid w:val="5EC34592"/>
    <w:rsid w:val="5F437D4E"/>
    <w:rsid w:val="606C13E2"/>
    <w:rsid w:val="60C67464"/>
    <w:rsid w:val="60EE7E60"/>
    <w:rsid w:val="622612B1"/>
    <w:rsid w:val="6389555E"/>
    <w:rsid w:val="64250882"/>
    <w:rsid w:val="65E6640D"/>
    <w:rsid w:val="667E7506"/>
    <w:rsid w:val="66D8753C"/>
    <w:rsid w:val="6D0E25A5"/>
    <w:rsid w:val="72B95E7C"/>
    <w:rsid w:val="72E6156E"/>
    <w:rsid w:val="730B2B4B"/>
    <w:rsid w:val="75282099"/>
    <w:rsid w:val="77E86AC9"/>
    <w:rsid w:val="793766DD"/>
    <w:rsid w:val="794F7B7D"/>
    <w:rsid w:val="79F84C0F"/>
    <w:rsid w:val="7AA0673E"/>
    <w:rsid w:val="7BA37D65"/>
    <w:rsid w:val="7D0B752C"/>
    <w:rsid w:val="7D447955"/>
    <w:rsid w:val="7E9D4AF9"/>
    <w:rsid w:val="7F461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cs="Times New Roman"/>
      <w:b/>
      <w:bCs/>
      <w:kern w:val="0"/>
      <w:sz w:val="36"/>
      <w:szCs w:val="36"/>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2538</Words>
  <Characters>2604</Characters>
  <Lines>19</Lines>
  <Paragraphs>5</Paragraphs>
  <TotalTime>0</TotalTime>
  <ScaleCrop>false</ScaleCrop>
  <LinksUpToDate>false</LinksUpToDate>
  <CharactersWithSpaces>2717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2023-01-03T09:08:00Z</dcterms:created>
  <dc:creator>李壮</dc:creator>
  <cp:lastModifiedBy>林文忠</cp:lastModifiedBy>
  <dcterms:modified xsi:type="dcterms:W3CDTF">2026-06-30T03:23:55Z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AECC00AA8174466BA792A2E67FCCF7C7_13</vt:lpwstr>
  </property>
  <property fmtid="{D5CDD505-2E9C-101B-9397-08002B2CF9AE}" pid="4" name="KSOTemplateDocerSaveRecord">
    <vt:lpwstr>eyJoZGlkIjoiMTRjOTM4NThlMjZlMWJjNjRjMTRiNDAwZDQ4ZDNhOTgiLCJ1c2VySWQiOiIxNzk2NzM4NjkwIn0=</vt:lpwstr>
  </property>
</Properties>
</file>