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F32C9">
      <w:pPr>
        <w:jc w:val="center"/>
        <w:rPr>
          <w:rFonts w:ascii="华文中宋" w:hAnsi="华文中宋" w:eastAsia="华文中宋" w:cs="Times New Roman"/>
          <w:sz w:val="44"/>
          <w:szCs w:val="44"/>
        </w:rPr>
      </w:pPr>
      <w:r>
        <w:rPr>
          <w:rFonts w:hint="eastAsia" w:ascii="华文中宋" w:hAnsi="华文中宋" w:eastAsia="华文中宋" w:cs="Times New Roman"/>
          <w:sz w:val="44"/>
          <w:szCs w:val="44"/>
        </w:rPr>
        <w:t xml:space="preserve"> 砂石</w:t>
      </w:r>
      <w:r>
        <w:rPr>
          <w:rFonts w:ascii="华文中宋" w:hAnsi="华文中宋" w:eastAsia="华文中宋" w:cs="Times New Roman"/>
          <w:sz w:val="44"/>
          <w:szCs w:val="44"/>
        </w:rPr>
        <w:t>销售协议</w:t>
      </w:r>
      <w:r>
        <w:rPr>
          <w:rFonts w:hint="eastAsia" w:ascii="华文中宋" w:hAnsi="华文中宋" w:eastAsia="华文中宋" w:cs="Times New Roman"/>
          <w:sz w:val="44"/>
          <w:szCs w:val="44"/>
        </w:rPr>
        <w:t xml:space="preserve"> </w:t>
      </w:r>
    </w:p>
    <w:p w14:paraId="18EBEF3C">
      <w:pPr>
        <w:rPr>
          <w:rFonts w:ascii="仿宋" w:hAnsi="仿宋" w:eastAsia="仿宋" w:cs="Times New Roman"/>
          <w:sz w:val="32"/>
          <w:szCs w:val="32"/>
        </w:rPr>
      </w:pPr>
    </w:p>
    <w:p w14:paraId="2E459CB3">
      <w:pPr>
        <w:rPr>
          <w:rFonts w:ascii="仿宋" w:hAnsi="仿宋" w:eastAsia="仿宋" w:cs="Times New Roman"/>
          <w:sz w:val="32"/>
          <w:szCs w:val="32"/>
        </w:rPr>
      </w:pPr>
      <w:bookmarkStart w:id="0" w:name="OLE_LINK3"/>
      <w:r>
        <w:rPr>
          <w:rFonts w:ascii="仿宋" w:hAnsi="仿宋" w:eastAsia="仿宋" w:cs="Times New Roman"/>
          <w:sz w:val="32"/>
          <w:szCs w:val="32"/>
        </w:rPr>
        <w:t>甲方：海口市生态环境建设投资有限公司（卖方）</w:t>
      </w:r>
    </w:p>
    <w:p w14:paraId="3F9958F1">
      <w:pPr>
        <w:rPr>
          <w:rFonts w:ascii="仿宋" w:hAnsi="仿宋" w:eastAsia="仿宋" w:cs="Times New Roman"/>
          <w:sz w:val="32"/>
          <w:szCs w:val="32"/>
        </w:rPr>
      </w:pPr>
      <w:r>
        <w:rPr>
          <w:rFonts w:ascii="仿宋" w:hAnsi="仿宋" w:eastAsia="仿宋" w:cs="Times New Roman"/>
          <w:sz w:val="32"/>
          <w:szCs w:val="32"/>
        </w:rPr>
        <w:t>乙方：</w:t>
      </w:r>
      <w:r>
        <w:rPr>
          <w:rFonts w:hint="eastAsia" w:ascii="仿宋" w:hAnsi="仿宋" w:eastAsia="仿宋" w:cs="Times New Roman"/>
          <w:sz w:val="32"/>
          <w:szCs w:val="32"/>
        </w:rPr>
        <w:t xml:space="preserve">                              </w:t>
      </w:r>
      <w:r>
        <w:rPr>
          <w:rFonts w:ascii="仿宋" w:hAnsi="仿宋" w:eastAsia="仿宋" w:cs="Times New Roman"/>
          <w:sz w:val="32"/>
          <w:szCs w:val="32"/>
        </w:rPr>
        <w:t>（买方）</w:t>
      </w:r>
    </w:p>
    <w:bookmarkEnd w:id="0"/>
    <w:p w14:paraId="78F5EE30">
      <w:pPr>
        <w:rPr>
          <w:rFonts w:ascii="仿宋" w:hAnsi="仿宋" w:eastAsia="仿宋" w:cs="Times New Roman"/>
          <w:sz w:val="32"/>
          <w:szCs w:val="32"/>
        </w:rPr>
      </w:pPr>
    </w:p>
    <w:p w14:paraId="0DBFA313">
      <w:pPr>
        <w:ind w:firstLine="640" w:firstLineChars="200"/>
        <w:rPr>
          <w:rFonts w:ascii="仿宋" w:hAnsi="仿宋" w:eastAsia="仿宋" w:cs="Times New Roman"/>
          <w:sz w:val="32"/>
          <w:szCs w:val="32"/>
        </w:rPr>
      </w:pPr>
      <w:r>
        <w:rPr>
          <w:rFonts w:hint="eastAsia" w:ascii="仿宋" w:hAnsi="仿宋" w:eastAsia="仿宋" w:cs="Times New Roman"/>
          <w:sz w:val="32"/>
          <w:szCs w:val="32"/>
        </w:rPr>
        <w:t>根据《中华人民共和国民法典》的相关规定，乙方向甲方采购标的物</w:t>
      </w:r>
      <w:r>
        <w:rPr>
          <w:rFonts w:ascii="仿宋" w:hAnsi="仿宋" w:eastAsia="仿宋" w:cs="Times New Roman"/>
          <w:sz w:val="32"/>
          <w:szCs w:val="32"/>
        </w:rPr>
        <w:t>，</w:t>
      </w:r>
      <w:r>
        <w:rPr>
          <w:rFonts w:hint="eastAsia" w:ascii="仿宋" w:hAnsi="仿宋" w:eastAsia="仿宋" w:cs="Times New Roman"/>
          <w:sz w:val="32"/>
          <w:szCs w:val="32"/>
        </w:rPr>
        <w:t>买卖双方在平等互利的基础上，经充分协商，达成以下协议，以资共同信守执行：</w:t>
      </w:r>
    </w:p>
    <w:p w14:paraId="0BDFB84B">
      <w:pPr>
        <w:ind w:firstLine="640" w:firstLineChars="200"/>
        <w:rPr>
          <w:rFonts w:ascii="黑体" w:hAnsi="黑体" w:eastAsia="黑体"/>
          <w:sz w:val="32"/>
          <w:szCs w:val="32"/>
        </w:rPr>
      </w:pPr>
      <w:r>
        <w:rPr>
          <w:rFonts w:hint="eastAsia" w:ascii="黑体" w:hAnsi="黑体" w:eastAsia="黑体"/>
          <w:sz w:val="32"/>
          <w:szCs w:val="32"/>
        </w:rPr>
        <w:t>一、砂石数量、价格</w:t>
      </w:r>
    </w:p>
    <w:tbl>
      <w:tblPr>
        <w:tblStyle w:val="5"/>
        <w:tblpPr w:leftFromText="180" w:rightFromText="180" w:vertAnchor="text" w:horzAnchor="page" w:tblpX="1059" w:tblpY="252"/>
        <w:tblOverlap w:val="never"/>
        <w:tblW w:w="10065" w:type="dxa"/>
        <w:tblInd w:w="0" w:type="dxa"/>
        <w:tblLayout w:type="fixed"/>
        <w:tblCellMar>
          <w:top w:w="0" w:type="dxa"/>
          <w:left w:w="108" w:type="dxa"/>
          <w:bottom w:w="0" w:type="dxa"/>
          <w:right w:w="108" w:type="dxa"/>
        </w:tblCellMar>
      </w:tblPr>
      <w:tblGrid>
        <w:gridCol w:w="3645"/>
        <w:gridCol w:w="1033"/>
        <w:gridCol w:w="1267"/>
        <w:gridCol w:w="1216"/>
        <w:gridCol w:w="2904"/>
      </w:tblGrid>
      <w:tr w14:paraId="48D1D5DC">
        <w:tblPrEx>
          <w:tblCellMar>
            <w:top w:w="0" w:type="dxa"/>
            <w:left w:w="108" w:type="dxa"/>
            <w:bottom w:w="0" w:type="dxa"/>
            <w:right w:w="108" w:type="dxa"/>
          </w:tblCellMar>
        </w:tblPrEx>
        <w:trPr>
          <w:trHeight w:val="775" w:hRule="atLeast"/>
        </w:trPr>
        <w:tc>
          <w:tcPr>
            <w:tcW w:w="36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ADC50D">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货品名称</w:t>
            </w:r>
          </w:p>
        </w:tc>
        <w:tc>
          <w:tcPr>
            <w:tcW w:w="1033" w:type="dxa"/>
            <w:tcBorders>
              <w:top w:val="single" w:color="000000" w:sz="8" w:space="0"/>
              <w:left w:val="nil"/>
              <w:bottom w:val="single" w:color="000000" w:sz="8" w:space="0"/>
              <w:right w:val="single" w:color="000000" w:sz="8" w:space="0"/>
            </w:tcBorders>
            <w:shd w:val="clear" w:color="auto" w:fill="auto"/>
            <w:vAlign w:val="center"/>
          </w:tcPr>
          <w:p w14:paraId="456D5937">
            <w:pPr>
              <w:widowControl/>
              <w:textAlignment w:val="center"/>
              <w:rPr>
                <w:rFonts w:ascii="仿宋" w:hAnsi="仿宋" w:eastAsia="仿宋" w:cs="仿宋"/>
                <w:sz w:val="28"/>
                <w:szCs w:val="28"/>
              </w:rPr>
            </w:pPr>
            <w:r>
              <w:rPr>
                <w:rFonts w:hint="eastAsia" w:ascii="仿宋" w:hAnsi="仿宋" w:eastAsia="仿宋" w:cs="仿宋"/>
                <w:kern w:val="0"/>
                <w:sz w:val="28"/>
                <w:szCs w:val="28"/>
                <w:lang w:bidi="ar"/>
              </w:rPr>
              <w:t>计量单 位</w:t>
            </w:r>
          </w:p>
        </w:tc>
        <w:tc>
          <w:tcPr>
            <w:tcW w:w="1267" w:type="dxa"/>
            <w:tcBorders>
              <w:top w:val="single" w:color="000000" w:sz="8" w:space="0"/>
              <w:left w:val="nil"/>
              <w:bottom w:val="single" w:color="000000" w:sz="8" w:space="0"/>
              <w:right w:val="single" w:color="000000" w:sz="8" w:space="0"/>
            </w:tcBorders>
            <w:shd w:val="clear" w:color="auto" w:fill="auto"/>
            <w:vAlign w:val="center"/>
          </w:tcPr>
          <w:p w14:paraId="0F04767D">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数量</w:t>
            </w:r>
          </w:p>
        </w:tc>
        <w:tc>
          <w:tcPr>
            <w:tcW w:w="1216" w:type="dxa"/>
            <w:tcBorders>
              <w:top w:val="single" w:color="000000" w:sz="8" w:space="0"/>
              <w:left w:val="nil"/>
              <w:bottom w:val="single" w:color="000000" w:sz="8" w:space="0"/>
              <w:right w:val="single" w:color="auto" w:sz="4" w:space="0"/>
            </w:tcBorders>
            <w:shd w:val="clear" w:color="auto" w:fill="auto"/>
            <w:vAlign w:val="center"/>
          </w:tcPr>
          <w:p w14:paraId="39425547">
            <w:pPr>
              <w:widowControl/>
              <w:textAlignment w:val="center"/>
              <w:rPr>
                <w:rFonts w:ascii="仿宋" w:hAnsi="仿宋" w:eastAsia="仿宋" w:cs="仿宋"/>
                <w:sz w:val="28"/>
                <w:szCs w:val="28"/>
              </w:rPr>
            </w:pPr>
            <w:r>
              <w:rPr>
                <w:rFonts w:hint="eastAsia" w:ascii="仿宋" w:hAnsi="仿宋" w:eastAsia="仿宋" w:cs="仿宋"/>
                <w:color w:val="C00000"/>
                <w:kern w:val="0"/>
                <w:sz w:val="28"/>
                <w:szCs w:val="28"/>
                <w:lang w:bidi="ar"/>
              </w:rPr>
              <w:t>单价（元/吨）</w:t>
            </w:r>
          </w:p>
        </w:tc>
        <w:tc>
          <w:tcPr>
            <w:tcW w:w="2904" w:type="dxa"/>
            <w:tcBorders>
              <w:top w:val="single" w:color="auto" w:sz="4" w:space="0"/>
              <w:left w:val="single" w:color="auto" w:sz="4" w:space="0"/>
              <w:bottom w:val="single" w:color="auto" w:sz="4" w:space="0"/>
              <w:right w:val="single" w:color="auto" w:sz="4" w:space="0"/>
            </w:tcBorders>
            <w:shd w:val="clear" w:color="auto" w:fill="auto"/>
            <w:vAlign w:val="center"/>
          </w:tcPr>
          <w:p w14:paraId="40CE63A7">
            <w:pPr>
              <w:widowControl/>
              <w:ind w:firstLine="280" w:firstLineChars="100"/>
              <w:textAlignment w:val="center"/>
              <w:rPr>
                <w:rFonts w:ascii="仿宋" w:hAnsi="仿宋" w:eastAsia="仿宋" w:cs="仿宋"/>
                <w:sz w:val="28"/>
                <w:szCs w:val="28"/>
              </w:rPr>
            </w:pPr>
            <w:r>
              <w:rPr>
                <w:rFonts w:hint="eastAsia" w:ascii="仿宋" w:hAnsi="仿宋" w:eastAsia="仿宋" w:cs="仿宋"/>
                <w:kern w:val="0"/>
                <w:sz w:val="28"/>
                <w:szCs w:val="28"/>
                <w:lang w:bidi="ar"/>
              </w:rPr>
              <w:t>合计（元）</w:t>
            </w:r>
          </w:p>
        </w:tc>
      </w:tr>
      <w:tr w14:paraId="422C308B">
        <w:tblPrEx>
          <w:tblCellMar>
            <w:top w:w="0" w:type="dxa"/>
            <w:left w:w="108" w:type="dxa"/>
            <w:bottom w:w="0" w:type="dxa"/>
            <w:right w:w="108" w:type="dxa"/>
          </w:tblCellMar>
        </w:tblPrEx>
        <w:trPr>
          <w:trHeight w:val="869" w:hRule="atLeast"/>
        </w:trPr>
        <w:tc>
          <w:tcPr>
            <w:tcW w:w="3645" w:type="dxa"/>
            <w:tcBorders>
              <w:top w:val="nil"/>
              <w:left w:val="single" w:color="000000" w:sz="8" w:space="0"/>
              <w:bottom w:val="single" w:color="000000" w:sz="8" w:space="0"/>
              <w:right w:val="single" w:color="000000" w:sz="8" w:space="0"/>
            </w:tcBorders>
            <w:shd w:val="clear" w:color="auto" w:fill="auto"/>
            <w:vAlign w:val="center"/>
          </w:tcPr>
          <w:p w14:paraId="35062ABF">
            <w:pPr>
              <w:widowControl/>
              <w:jc w:val="center"/>
              <w:textAlignment w:val="center"/>
              <w:rPr>
                <w:rFonts w:ascii="仿宋" w:hAnsi="仿宋" w:eastAsia="仿宋" w:cs="仿宋"/>
                <w:sz w:val="28"/>
                <w:szCs w:val="28"/>
              </w:rPr>
            </w:pPr>
            <w:r>
              <w:rPr>
                <w:rFonts w:hint="eastAsia" w:ascii="仿宋" w:hAnsi="仿宋" w:eastAsia="仿宋" w:cs="仿宋"/>
                <w:color w:val="0000FF"/>
                <w:sz w:val="28"/>
                <w:szCs w:val="28"/>
                <w14:textFill>
                  <w14:gradFill>
                    <w14:gsLst>
                      <w14:gs w14:pos="0">
                        <w14:srgbClr w14:val="E30000"/>
                      </w14:gs>
                      <w14:gs w14:pos="100000">
                        <w14:srgbClr w14:val="760303"/>
                      </w14:gs>
                    </w14:gsLst>
                    <w14:lin w14:ang="0" w14:scaled="0"/>
                  </w14:gradFill>
                </w14:textFill>
              </w:rPr>
              <w:t>石料（海口市观澜湖污水处理厂尾水管变更工程）</w:t>
            </w:r>
          </w:p>
        </w:tc>
        <w:tc>
          <w:tcPr>
            <w:tcW w:w="1033" w:type="dxa"/>
            <w:tcBorders>
              <w:top w:val="nil"/>
              <w:left w:val="nil"/>
              <w:bottom w:val="single" w:color="000000" w:sz="8" w:space="0"/>
              <w:right w:val="single" w:color="000000" w:sz="8" w:space="0"/>
            </w:tcBorders>
            <w:shd w:val="clear" w:color="auto" w:fill="auto"/>
            <w:vAlign w:val="center"/>
          </w:tcPr>
          <w:p w14:paraId="48A2A259">
            <w:pPr>
              <w:widowControl/>
              <w:jc w:val="center"/>
              <w:textAlignment w:val="center"/>
              <w:rPr>
                <w:rFonts w:ascii="仿宋" w:hAnsi="仿宋" w:eastAsia="仿宋" w:cs="仿宋"/>
                <w:sz w:val="28"/>
                <w:szCs w:val="28"/>
              </w:rPr>
            </w:pPr>
            <w:r>
              <w:rPr>
                <w:rFonts w:hint="eastAsia" w:ascii="仿宋" w:hAnsi="仿宋" w:eastAsia="仿宋" w:cs="仿宋"/>
                <w:color w:val="0000FF"/>
                <w:kern w:val="0"/>
                <w:sz w:val="28"/>
                <w:szCs w:val="28"/>
                <w:lang w:bidi="ar"/>
                <w14:textFill>
                  <w14:gradFill>
                    <w14:gsLst>
                      <w14:gs w14:pos="0">
                        <w14:srgbClr w14:val="E30000"/>
                      </w14:gs>
                      <w14:gs w14:pos="100000">
                        <w14:srgbClr w14:val="760303"/>
                      </w14:gs>
                    </w14:gsLst>
                    <w14:lin w14:ang="0" w14:scaled="0"/>
                  </w14:gradFill>
                </w14:textFill>
              </w:rPr>
              <w:t>吨</w:t>
            </w:r>
          </w:p>
        </w:tc>
        <w:tc>
          <w:tcPr>
            <w:tcW w:w="1267" w:type="dxa"/>
            <w:tcBorders>
              <w:top w:val="nil"/>
              <w:left w:val="nil"/>
              <w:bottom w:val="single" w:color="000000" w:sz="8" w:space="0"/>
              <w:right w:val="single" w:color="000000" w:sz="8" w:space="0"/>
            </w:tcBorders>
            <w:shd w:val="clear" w:color="auto" w:fill="auto"/>
            <w:noWrap/>
            <w:vAlign w:val="center"/>
          </w:tcPr>
          <w:p w14:paraId="223B1CAE">
            <w:pPr>
              <w:widowControl/>
              <w:jc w:val="center"/>
              <w:textAlignment w:val="center"/>
              <w:rPr>
                <w:rFonts w:ascii="仿宋" w:hAnsi="仿宋" w:eastAsia="仿宋" w:cs="仿宋"/>
                <w:sz w:val="28"/>
                <w:szCs w:val="28"/>
              </w:rPr>
            </w:pPr>
            <w:r>
              <w:rPr>
                <w:rFonts w:ascii="宋体" w:hAnsi="宋体"/>
                <w:color w:val="FF0000"/>
                <w:sz w:val="24"/>
              </w:rPr>
              <w:t>2</w:t>
            </w:r>
            <w:r>
              <w:rPr>
                <w:rFonts w:hint="eastAsia" w:ascii="宋体" w:hAnsi="宋体"/>
                <w:color w:val="FF0000"/>
                <w:sz w:val="24"/>
                <w:lang w:val="en-US" w:eastAsia="zh-CN"/>
              </w:rPr>
              <w:t>2</w:t>
            </w:r>
            <w:bookmarkStart w:id="2" w:name="_GoBack"/>
            <w:bookmarkEnd w:id="2"/>
            <w:r>
              <w:rPr>
                <w:rFonts w:ascii="宋体" w:hAnsi="宋体"/>
                <w:color w:val="FF0000"/>
                <w:sz w:val="24"/>
              </w:rPr>
              <w:t>000</w:t>
            </w:r>
            <w:r>
              <w:rPr>
                <w:rFonts w:hint="eastAsia" w:ascii="仿宋" w:hAnsi="仿宋" w:eastAsia="仿宋" w:cs="仿宋"/>
                <w:color w:val="0000FF"/>
                <w:sz w:val="28"/>
                <w:szCs w:val="28"/>
                <w14:textFill>
                  <w14:gradFill>
                    <w14:gsLst>
                      <w14:gs w14:pos="0">
                        <w14:srgbClr w14:val="E30000"/>
                      </w14:gs>
                      <w14:gs w14:pos="100000">
                        <w14:srgbClr w14:val="760303"/>
                      </w14:gs>
                    </w14:gsLst>
                    <w14:lin w14:ang="0" w14:scaled="0"/>
                  </w14:gradFill>
                </w14:textFill>
              </w:rPr>
              <w:t xml:space="preserve"> </w:t>
            </w:r>
          </w:p>
        </w:tc>
        <w:tc>
          <w:tcPr>
            <w:tcW w:w="1216" w:type="dxa"/>
            <w:tcBorders>
              <w:top w:val="nil"/>
              <w:left w:val="nil"/>
              <w:bottom w:val="single" w:color="auto" w:sz="4" w:space="0"/>
              <w:right w:val="single" w:color="auto" w:sz="4" w:space="0"/>
            </w:tcBorders>
            <w:shd w:val="clear" w:color="auto" w:fill="auto"/>
            <w:vAlign w:val="center"/>
          </w:tcPr>
          <w:p w14:paraId="50C80BB6">
            <w:pPr>
              <w:widowControl/>
              <w:jc w:val="center"/>
              <w:textAlignment w:val="center"/>
              <w:rPr>
                <w:rFonts w:ascii="仿宋" w:hAnsi="仿宋" w:eastAsia="仿宋" w:cs="仿宋"/>
                <w:sz w:val="28"/>
                <w:szCs w:val="28"/>
              </w:rPr>
            </w:pPr>
            <w:r>
              <w:rPr>
                <w:rFonts w:hint="eastAsia" w:ascii="仿宋" w:hAnsi="仿宋" w:eastAsia="仿宋" w:cs="仿宋"/>
                <w:sz w:val="28"/>
                <w:szCs w:val="28"/>
              </w:rPr>
              <w:t xml:space="preserve"> </w:t>
            </w:r>
          </w:p>
        </w:tc>
        <w:tc>
          <w:tcPr>
            <w:tcW w:w="2904" w:type="dxa"/>
            <w:tcBorders>
              <w:top w:val="single" w:color="auto" w:sz="4" w:space="0"/>
              <w:left w:val="single" w:color="auto" w:sz="4" w:space="0"/>
              <w:bottom w:val="single" w:color="auto" w:sz="4" w:space="0"/>
              <w:right w:val="single" w:color="auto" w:sz="4" w:space="0"/>
            </w:tcBorders>
            <w:shd w:val="clear" w:color="auto" w:fill="auto"/>
            <w:vAlign w:val="center"/>
          </w:tcPr>
          <w:p w14:paraId="2576306B">
            <w:pPr>
              <w:widowControl/>
              <w:ind w:firstLine="840" w:firstLineChars="300"/>
              <w:jc w:val="center"/>
              <w:textAlignment w:val="center"/>
              <w:rPr>
                <w:rFonts w:ascii="仿宋" w:hAnsi="仿宋" w:eastAsia="仿宋" w:cs="仿宋"/>
                <w:sz w:val="28"/>
                <w:szCs w:val="28"/>
              </w:rPr>
            </w:pPr>
            <w:r>
              <w:rPr>
                <w:rFonts w:hint="eastAsia" w:ascii="仿宋" w:hAnsi="仿宋" w:eastAsia="仿宋" w:cs="仿宋"/>
                <w:sz w:val="28"/>
                <w:szCs w:val="28"/>
              </w:rPr>
              <w:t xml:space="preserve"> </w:t>
            </w:r>
          </w:p>
        </w:tc>
      </w:tr>
      <w:tr w14:paraId="15BC2CB2">
        <w:tblPrEx>
          <w:tblCellMar>
            <w:top w:w="0" w:type="dxa"/>
            <w:left w:w="108" w:type="dxa"/>
            <w:bottom w:w="0" w:type="dxa"/>
            <w:right w:w="108" w:type="dxa"/>
          </w:tblCellMar>
        </w:tblPrEx>
        <w:trPr>
          <w:trHeight w:val="765" w:hRule="atLeast"/>
        </w:trPr>
        <w:tc>
          <w:tcPr>
            <w:tcW w:w="3645" w:type="dxa"/>
            <w:tcBorders>
              <w:top w:val="nil"/>
              <w:left w:val="single" w:color="000000" w:sz="8" w:space="0"/>
              <w:bottom w:val="single" w:color="000000" w:sz="8" w:space="0"/>
              <w:right w:val="single" w:color="000000" w:sz="8" w:space="0"/>
            </w:tcBorders>
            <w:shd w:val="clear" w:color="auto" w:fill="auto"/>
            <w:vAlign w:val="center"/>
          </w:tcPr>
          <w:p w14:paraId="344F1CC3">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合计（元）</w:t>
            </w:r>
          </w:p>
        </w:tc>
        <w:tc>
          <w:tcPr>
            <w:tcW w:w="6420" w:type="dxa"/>
            <w:gridSpan w:val="4"/>
            <w:tcBorders>
              <w:top w:val="nil"/>
              <w:left w:val="nil"/>
              <w:bottom w:val="single" w:color="000000" w:sz="8" w:space="0"/>
              <w:right w:val="single" w:color="000000" w:sz="8" w:space="0"/>
            </w:tcBorders>
            <w:shd w:val="clear" w:color="auto" w:fill="auto"/>
            <w:vAlign w:val="center"/>
          </w:tcPr>
          <w:p w14:paraId="5A0F3DA1">
            <w:pPr>
              <w:widowControl/>
              <w:jc w:val="left"/>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 xml:space="preserve">人民币大写： </w:t>
            </w:r>
          </w:p>
        </w:tc>
      </w:tr>
      <w:tr w14:paraId="4232DB24">
        <w:tblPrEx>
          <w:tblCellMar>
            <w:top w:w="0" w:type="dxa"/>
            <w:left w:w="108" w:type="dxa"/>
            <w:bottom w:w="0" w:type="dxa"/>
            <w:right w:w="108" w:type="dxa"/>
          </w:tblCellMar>
        </w:tblPrEx>
        <w:trPr>
          <w:trHeight w:val="850" w:hRule="atLeast"/>
        </w:trPr>
        <w:tc>
          <w:tcPr>
            <w:tcW w:w="10065" w:type="dxa"/>
            <w:gridSpan w:val="5"/>
            <w:tcBorders>
              <w:top w:val="nil"/>
              <w:left w:val="single" w:color="000000" w:sz="8" w:space="0"/>
              <w:bottom w:val="single" w:color="000000" w:sz="8" w:space="0"/>
              <w:right w:val="single" w:color="000000" w:sz="8" w:space="0"/>
            </w:tcBorders>
            <w:shd w:val="clear" w:color="auto" w:fill="auto"/>
            <w:vAlign w:val="center"/>
          </w:tcPr>
          <w:p w14:paraId="4DB74477">
            <w:pPr>
              <w:widowControl/>
              <w:ind w:left="560" w:hanging="560" w:hangingChars="200"/>
              <w:jc w:val="left"/>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注：1.以实际过磅数量为准进行结算。</w:t>
            </w:r>
          </w:p>
          <w:p w14:paraId="0ACA792D">
            <w:pPr>
              <w:widowControl/>
              <w:ind w:left="560"/>
              <w:jc w:val="left"/>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2.提货运输车辆在运输过程中，被交警或其他相关部门抓到超载或违章等行为，由乙方自行承担，与甲方无关。</w:t>
            </w:r>
          </w:p>
          <w:p w14:paraId="68F2B5BC">
            <w:pPr>
              <w:widowControl/>
              <w:ind w:left="560"/>
              <w:jc w:val="left"/>
              <w:textAlignment w:val="center"/>
              <w:rPr>
                <w:rFonts w:ascii="仿宋" w:hAnsi="仿宋" w:eastAsia="仿宋" w:cs="仿宋"/>
                <w:color w:val="000000"/>
                <w:kern w:val="0"/>
                <w:sz w:val="28"/>
                <w:szCs w:val="28"/>
                <w:lang w:bidi="ar"/>
              </w:rPr>
            </w:pPr>
            <w:bookmarkStart w:id="1" w:name="OLE_LINK1"/>
            <w:r>
              <w:rPr>
                <w:rFonts w:hint="eastAsia" w:ascii="仿宋" w:hAnsi="仿宋" w:eastAsia="仿宋" w:cs="仿宋"/>
                <w:color w:val="000000"/>
                <w:kern w:val="0"/>
                <w:sz w:val="28"/>
                <w:szCs w:val="28"/>
                <w:lang w:bidi="ar"/>
              </w:rPr>
              <w:t>3.乙方使用本次转让的砂石资源须接受甲方流向跟踪，不得进入非法加工点进行加工使用，甲方有权要求乙方更换物料接收地。一经发现转让的砂石资源进入非法加工，甲方有权停止供应砂石资源，并解除合同，没收乙方履约保证金。同时，甲方有权报告并提请主管部门进行调查、监督。</w:t>
            </w:r>
            <w:bookmarkEnd w:id="1"/>
          </w:p>
        </w:tc>
      </w:tr>
    </w:tbl>
    <w:p w14:paraId="340DD8DC">
      <w:pPr>
        <w:spacing w:line="560" w:lineRule="exact"/>
        <w:ind w:firstLine="640" w:firstLineChars="200"/>
        <w:rPr>
          <w:rFonts w:ascii="黑体" w:hAnsi="黑体" w:eastAsia="黑体"/>
          <w:sz w:val="32"/>
          <w:szCs w:val="32"/>
        </w:rPr>
      </w:pPr>
      <w:r>
        <w:rPr>
          <w:rFonts w:hint="eastAsia" w:ascii="黑体" w:hAnsi="黑体" w:eastAsia="黑体"/>
          <w:sz w:val="32"/>
          <w:szCs w:val="32"/>
        </w:rPr>
        <w:t>二、付款时间与方式</w:t>
      </w:r>
    </w:p>
    <w:p w14:paraId="12452F2A">
      <w:pPr>
        <w:widowControl/>
        <w:spacing w:line="560" w:lineRule="exact"/>
        <w:ind w:firstLine="640" w:firstLineChars="200"/>
        <w:textAlignment w:val="center"/>
        <w:rPr>
          <w:rFonts w:ascii="仿宋" w:hAnsi="仿宋" w:eastAsia="仿宋" w:cs="Times New Roman"/>
          <w:sz w:val="32"/>
          <w:szCs w:val="32"/>
        </w:rPr>
      </w:pPr>
      <w:r>
        <w:rPr>
          <w:rFonts w:hint="eastAsia" w:ascii="仿宋" w:hAnsi="仿宋" w:eastAsia="仿宋" w:cs="Times New Roman"/>
          <w:sz w:val="32"/>
          <w:szCs w:val="32"/>
        </w:rPr>
        <w:t>（一）本合同总价款为人民币</w:t>
      </w:r>
      <w:r>
        <w:rPr>
          <w:rFonts w:hint="eastAsia" w:ascii="仿宋" w:hAnsi="仿宋" w:eastAsia="仿宋" w:cs="Times New Roman"/>
          <w:sz w:val="32"/>
          <w:szCs w:val="32"/>
          <w:u w:val="single"/>
        </w:rPr>
        <w:t xml:space="preserve">     元</w:t>
      </w:r>
      <w:r>
        <w:rPr>
          <w:rFonts w:hint="eastAsia" w:ascii="仿宋" w:hAnsi="仿宋" w:eastAsia="仿宋" w:cs="Times New Roman"/>
          <w:sz w:val="32"/>
          <w:szCs w:val="32"/>
        </w:rPr>
        <w:t>（大写人民币：</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）。履约保证金为人民币</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元（大写人民币：</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032F1D6D">
      <w:pPr>
        <w:widowControl/>
        <w:spacing w:line="560" w:lineRule="exact"/>
        <w:ind w:firstLine="640" w:firstLineChars="200"/>
        <w:textAlignment w:val="center"/>
        <w:rPr>
          <w:rFonts w:ascii="仿宋" w:hAnsi="仿宋" w:eastAsia="仿宋" w:cs="仿宋"/>
          <w:color w:val="000000"/>
          <w:kern w:val="0"/>
          <w:sz w:val="32"/>
          <w:szCs w:val="32"/>
          <w:lang w:bidi="ar"/>
        </w:rPr>
      </w:pPr>
      <w:r>
        <w:rPr>
          <w:rFonts w:hint="eastAsia" w:ascii="仿宋" w:hAnsi="仿宋" w:eastAsia="仿宋" w:cs="Times New Roman"/>
          <w:sz w:val="32"/>
          <w:szCs w:val="32"/>
        </w:rPr>
        <w:t>（二）本合同按照先付款后提货的付款方式，乙方应于合同签订后五个工作日内将货款的</w:t>
      </w:r>
      <w:r>
        <w:rPr>
          <w:rFonts w:ascii="仿宋" w:hAnsi="仿宋" w:eastAsia="仿宋" w:cs="Times New Roman"/>
          <w:sz w:val="32"/>
          <w:szCs w:val="32"/>
        </w:rPr>
        <w:t>3</w:t>
      </w:r>
      <w:r>
        <w:rPr>
          <w:rFonts w:hint="eastAsia" w:ascii="仿宋" w:hAnsi="仿宋" w:eastAsia="仿宋" w:cs="Times New Roman"/>
          <w:sz w:val="32"/>
          <w:szCs w:val="32"/>
        </w:rPr>
        <w:t>0%支付至财政非税账户</w:t>
      </w:r>
      <w:r>
        <w:rPr>
          <w:rFonts w:hint="eastAsia" w:ascii="仿宋" w:hAnsi="仿宋" w:eastAsia="仿宋" w:cs="仿宋"/>
          <w:color w:val="000000"/>
          <w:kern w:val="0"/>
          <w:sz w:val="32"/>
          <w:szCs w:val="32"/>
          <w:lang w:bidi="ar"/>
        </w:rPr>
        <w:t>，剩余货款依据提货进度和实际提货量缴存至财政非税专户。</w:t>
      </w:r>
    </w:p>
    <w:p w14:paraId="418896CB">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账户名称：海口市财政局财政性资金</w:t>
      </w:r>
    </w:p>
    <w:p w14:paraId="300DCC6E">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账号：46001002136050007664-0002</w:t>
      </w:r>
    </w:p>
    <w:p w14:paraId="1C686AE9">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开户行：建行海口龙华支行 </w:t>
      </w:r>
    </w:p>
    <w:p w14:paraId="6CDA230A">
      <w:pPr>
        <w:ind w:firstLine="640" w:firstLineChars="200"/>
        <w:rPr>
          <w:rFonts w:ascii="仿宋" w:hAnsi="仿宋" w:eastAsia="仿宋" w:cs="Times New Roman"/>
          <w:sz w:val="32"/>
          <w:szCs w:val="32"/>
        </w:rPr>
      </w:pPr>
      <w:r>
        <w:rPr>
          <w:rFonts w:hint="eastAsia" w:ascii="仿宋" w:hAnsi="仿宋" w:eastAsia="仿宋" w:cs="Times New Roman"/>
          <w:sz w:val="32"/>
          <w:szCs w:val="32"/>
        </w:rPr>
        <w:t>（三）非税收入统一票据</w:t>
      </w:r>
    </w:p>
    <w:p w14:paraId="077F31E5">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乙方需凭成交通知书、缴款凭证、营业执照、法人身份证、缴款通知书等材料登录海南政务服务网递交相关资料进行线上办理，通过“海易办”APP或小程序进行查询并下载电子缴款书开具票据。（具体由甲方进行指导协助办理）。   </w:t>
      </w:r>
    </w:p>
    <w:p w14:paraId="35A9CA07">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（四）甲乙双方合同履行结束后</w:t>
      </w:r>
      <w:r>
        <w:rPr>
          <w:rFonts w:hint="eastAsia" w:ascii="仿宋" w:hAnsi="仿宋" w:eastAsia="仿宋" w:cs="Times New Roman"/>
          <w:sz w:val="32"/>
          <w:szCs w:val="32"/>
          <w:u w:val="single"/>
        </w:rPr>
        <w:t>10</w:t>
      </w:r>
      <w:r>
        <w:rPr>
          <w:rFonts w:hint="eastAsia" w:ascii="仿宋" w:hAnsi="仿宋" w:eastAsia="仿宋" w:cs="Times New Roman"/>
          <w:sz w:val="32"/>
          <w:szCs w:val="32"/>
        </w:rPr>
        <w:t xml:space="preserve">个工作日内，由甲方向乙方无息返还履约保证金。                         </w:t>
      </w:r>
    </w:p>
    <w:p w14:paraId="4DB82BFC">
      <w:pPr>
        <w:spacing w:line="560" w:lineRule="exact"/>
        <w:ind w:firstLine="640" w:firstLineChars="200"/>
        <w:rPr>
          <w:rFonts w:ascii="黑体" w:hAnsi="黑体" w:eastAsia="黑体"/>
          <w:sz w:val="32"/>
          <w:szCs w:val="32"/>
        </w:rPr>
      </w:pPr>
      <w:r>
        <w:rPr>
          <w:rFonts w:hint="eastAsia" w:ascii="黑体" w:hAnsi="黑体" w:eastAsia="黑体"/>
          <w:sz w:val="32"/>
          <w:szCs w:val="32"/>
        </w:rPr>
        <w:t>三、交货方式、交货日期及交货地点：</w:t>
      </w:r>
    </w:p>
    <w:p w14:paraId="2D7C3A4A">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（一）交货方式</w:t>
      </w:r>
    </w:p>
    <w:p w14:paraId="11D4F74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乙方到甲方指定地点自提，乙方需自行解决提货的装车、运输及其他事项，费用由乙方承担。（包含自派挖机+清洗路面，如施工单位愿配合提供挖机装车，可自行协调，以实际情况为准）。乙方应在合同签订之日起根据甲方安排，乙方无条件配合提货，每日提货运输过程中涉及到的一切问题由乙方自行解决。乙方需自行安排地磅，并由甲方工作人员参与过磅。</w:t>
      </w:r>
    </w:p>
    <w:p w14:paraId="321E78AB">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（二）确认收货</w:t>
      </w:r>
    </w:p>
    <w:p w14:paraId="5607FBDB">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乙方应提前一日将运输车辆数量、车辆号码、运输时间、运输路线等告知甲方。提货时，甲乙双方共同签字确认运输车辆及运输的吨数（注：以地磅为准）等，乙方运输车辆提货后离开甲方出货地点，即视为已交货（乙方已知晓了解，甲方供应的砂石料从部分建设工程项目中开挖产生，砂石料中含有一定水分和泥渣，不能作为减免费用或扣除吨数的依据，运输途中的损耗由乙方自行承担，乙方不能据此要求变更本合同价款）。</w:t>
      </w:r>
    </w:p>
    <w:p w14:paraId="0B55E232">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（三）交货地点</w:t>
      </w:r>
    </w:p>
    <w:p w14:paraId="78D33F46">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按甲方的指定地点进行交货。</w:t>
      </w:r>
    </w:p>
    <w:p w14:paraId="5B2F5996">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（四）交货日期</w:t>
      </w:r>
    </w:p>
    <w:p w14:paraId="428CC4C1">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根据项目施工进度和甲方安排，乙方无条件配合提货，如无不可抗力因素，乙方故意拖延提货时间，影响项目施工进度或对甲方造成处罚或负面影响，甲方有权扣除合同履约保证金，情节严重的甲方有权扣除全部竞买履约保证金并解除合同。</w:t>
      </w:r>
    </w:p>
    <w:p w14:paraId="2D650438">
      <w:pPr>
        <w:spacing w:line="560" w:lineRule="exact"/>
        <w:ind w:left="420" w:leftChars="200"/>
        <w:rPr>
          <w:rFonts w:ascii="仿宋" w:hAnsi="仿宋" w:eastAsia="仿宋" w:cs="Times New Roman"/>
          <w:sz w:val="32"/>
          <w:szCs w:val="32"/>
        </w:rPr>
      </w:pPr>
      <w:r>
        <w:rPr>
          <w:rFonts w:hint="eastAsia" w:ascii="仿宋" w:hAnsi="仿宋" w:eastAsia="仿宋" w:cs="Times New Roman"/>
          <w:sz w:val="32"/>
          <w:szCs w:val="32"/>
        </w:rPr>
        <w:t>（五）提货延迟</w:t>
      </w:r>
    </w:p>
    <w:p w14:paraId="175FA599">
      <w:pPr>
        <w:spacing w:line="560" w:lineRule="exact"/>
        <w:ind w:firstLine="640" w:firstLineChars="200"/>
        <w:rPr>
          <w:rFonts w:ascii="仿宋_GB2312" w:hAnsi="仿宋_GB2312" w:eastAsia="仿宋_GB2312" w:cs="仿宋_GB2312"/>
          <w:sz w:val="32"/>
          <w:szCs w:val="32"/>
        </w:rPr>
      </w:pPr>
      <w:r>
        <w:rPr>
          <w:rFonts w:hint="eastAsia" w:ascii="仿宋" w:hAnsi="仿宋" w:eastAsia="仿宋" w:cs="Times New Roman"/>
          <w:color w:val="FF0000"/>
          <w:sz w:val="32"/>
          <w:szCs w:val="32"/>
        </w:rPr>
        <w:t>乙方已知晓本项目为政府重点项目，乙方应具备足够的</w:t>
      </w:r>
      <w:r>
        <w:rPr>
          <w:rFonts w:hint="eastAsia" w:ascii="仿宋_GB2312" w:hAnsi="仿宋_GB2312" w:eastAsia="仿宋_GB2312" w:cs="仿宋_GB2312"/>
          <w:color w:val="FF0000"/>
          <w:sz w:val="32"/>
          <w:szCs w:val="32"/>
        </w:rPr>
        <w:t>销售渠道或消纳场地，采取相应外运措施配合完成提货工作，不得耽误项目工期。非特殊情况下，乙方每日须安排运输车辆收储，每日提货量应根据项目实际土方开挖量确定（具体以本公司计划为准）。因乙方原因未按本公司计划提货出库，造成项目工期延误，每次扣罚合同履约保证金的1</w:t>
      </w:r>
      <w:r>
        <w:rPr>
          <w:rFonts w:ascii="仿宋_GB2312" w:hAnsi="仿宋_GB2312" w:eastAsia="仿宋_GB2312" w:cs="仿宋_GB2312"/>
          <w:color w:val="FF0000"/>
          <w:sz w:val="32"/>
          <w:szCs w:val="32"/>
        </w:rPr>
        <w:t>0%</w:t>
      </w:r>
      <w:r>
        <w:rPr>
          <w:rFonts w:hint="eastAsia" w:ascii="仿宋_GB2312" w:hAnsi="仿宋_GB2312" w:eastAsia="仿宋_GB2312" w:cs="仿宋_GB2312"/>
          <w:color w:val="FF0000"/>
          <w:sz w:val="32"/>
          <w:szCs w:val="32"/>
        </w:rPr>
        <w:t>，连续扣罚五次后则解除协议。</w:t>
      </w:r>
    </w:p>
    <w:p w14:paraId="4B609C79">
      <w:pPr>
        <w:spacing w:line="560" w:lineRule="exact"/>
        <w:ind w:firstLine="640" w:firstLineChars="200"/>
        <w:rPr>
          <w:rFonts w:ascii="黑体" w:hAnsi="黑体" w:eastAsia="黑体"/>
          <w:sz w:val="32"/>
          <w:szCs w:val="32"/>
        </w:rPr>
      </w:pPr>
      <w:r>
        <w:rPr>
          <w:rFonts w:hint="eastAsia" w:ascii="黑体" w:hAnsi="黑体" w:eastAsia="黑体"/>
          <w:sz w:val="32"/>
          <w:szCs w:val="32"/>
        </w:rPr>
        <w:t>四、双方的权利义务</w:t>
      </w:r>
    </w:p>
    <w:p w14:paraId="545FA925">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（一）甲方的权利义务</w:t>
      </w:r>
    </w:p>
    <w:p w14:paraId="74E8CC73">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1.保证砂石</w:t>
      </w:r>
      <w:r>
        <w:rPr>
          <w:rFonts w:ascii="仿宋" w:hAnsi="仿宋" w:eastAsia="仿宋" w:cs="Times New Roman"/>
          <w:sz w:val="32"/>
          <w:szCs w:val="32"/>
        </w:rPr>
        <w:t>料</w:t>
      </w:r>
      <w:r>
        <w:rPr>
          <w:rFonts w:hint="eastAsia" w:ascii="仿宋" w:hAnsi="仿宋" w:eastAsia="仿宋" w:cs="Times New Roman"/>
          <w:sz w:val="32"/>
          <w:szCs w:val="32"/>
        </w:rPr>
        <w:t>相关手续合法。</w:t>
      </w:r>
    </w:p>
    <w:p w14:paraId="21F85A14">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2.甲方按照本合同约定供应并销售砂石料。</w:t>
      </w:r>
    </w:p>
    <w:p w14:paraId="4FA4864F">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3.甲方有权从履约保证金中直接扣除乙方应承担的违约金及赔偿款等费用。</w:t>
      </w:r>
    </w:p>
    <w:p w14:paraId="75C164C1">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（二）乙方的权利义务</w:t>
      </w:r>
    </w:p>
    <w:p w14:paraId="17433B13">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1．按本协议约定按时支付本协议价款。</w:t>
      </w:r>
    </w:p>
    <w:p w14:paraId="093DFE3B">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2.本协议签订前，乙方已确认甲方所售砂石</w:t>
      </w:r>
      <w:r>
        <w:rPr>
          <w:rFonts w:ascii="仿宋" w:hAnsi="仿宋" w:eastAsia="仿宋" w:cs="Times New Roman"/>
          <w:sz w:val="32"/>
          <w:szCs w:val="32"/>
        </w:rPr>
        <w:t>料</w:t>
      </w:r>
      <w:r>
        <w:rPr>
          <w:rFonts w:hint="eastAsia" w:ascii="仿宋" w:hAnsi="仿宋" w:eastAsia="仿宋" w:cs="Times New Roman"/>
          <w:sz w:val="32"/>
          <w:szCs w:val="32"/>
        </w:rPr>
        <w:t>质量完全符合乙方使用需求，对甲方所售砂石</w:t>
      </w:r>
      <w:r>
        <w:rPr>
          <w:rFonts w:ascii="仿宋" w:hAnsi="仿宋" w:eastAsia="仿宋" w:cs="Times New Roman"/>
          <w:sz w:val="32"/>
          <w:szCs w:val="32"/>
        </w:rPr>
        <w:t>料</w:t>
      </w:r>
      <w:r>
        <w:rPr>
          <w:rFonts w:hint="eastAsia" w:ascii="仿宋" w:hAnsi="仿宋" w:eastAsia="仿宋" w:cs="Times New Roman"/>
          <w:sz w:val="32"/>
          <w:szCs w:val="32"/>
        </w:rPr>
        <w:t>质量无任何异议，不会就砂石</w:t>
      </w:r>
      <w:r>
        <w:rPr>
          <w:rFonts w:ascii="仿宋" w:hAnsi="仿宋" w:eastAsia="仿宋" w:cs="Times New Roman"/>
          <w:sz w:val="32"/>
          <w:szCs w:val="32"/>
        </w:rPr>
        <w:t>料</w:t>
      </w:r>
      <w:r>
        <w:rPr>
          <w:rFonts w:hint="eastAsia" w:ascii="仿宋" w:hAnsi="仿宋" w:eastAsia="仿宋" w:cs="Times New Roman"/>
          <w:sz w:val="32"/>
          <w:szCs w:val="32"/>
        </w:rPr>
        <w:t>质量提出任何有异议或以其他理由否定</w:t>
      </w:r>
      <w:r>
        <w:rPr>
          <w:rFonts w:ascii="仿宋" w:hAnsi="仿宋" w:eastAsia="仿宋" w:cs="Times New Roman"/>
          <w:sz w:val="32"/>
          <w:szCs w:val="32"/>
        </w:rPr>
        <w:t>石料</w:t>
      </w:r>
      <w:r>
        <w:rPr>
          <w:rFonts w:hint="eastAsia" w:ascii="仿宋" w:hAnsi="仿宋" w:eastAsia="仿宋" w:cs="Times New Roman"/>
          <w:sz w:val="32"/>
          <w:szCs w:val="32"/>
        </w:rPr>
        <w:t>质量，并提出权利要求。</w:t>
      </w:r>
    </w:p>
    <w:p w14:paraId="2A4EC4FF">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交货后运输车辆运输过程中违反国家运输管理规定超载、超限运输，违反相关交通规定造成交通事故或有关执法部门进行源头处罚等导致甲方的一切损失，均由乙方全部承担，甲方有权从履约保证金中扣除损失。</w:t>
      </w:r>
    </w:p>
    <w:p w14:paraId="2AE840E1">
      <w:pPr>
        <w:ind w:firstLine="640" w:firstLineChars="200"/>
        <w:rPr>
          <w:rFonts w:ascii="仿宋" w:hAnsi="仿宋" w:eastAsia="仿宋" w:cs="Times New Roman"/>
          <w:sz w:val="32"/>
          <w:szCs w:val="32"/>
        </w:rPr>
      </w:pPr>
      <w:r>
        <w:rPr>
          <w:rFonts w:hint="eastAsia" w:ascii="仿宋" w:hAnsi="仿宋" w:eastAsia="仿宋" w:cs="Times New Roman"/>
          <w:sz w:val="32"/>
          <w:szCs w:val="32"/>
        </w:rPr>
        <w:t>4.乙方人员因履行本合同项下工作所遭受的工伤、造成的任何人身损害、财产损失及相关安全生产事故问题，均由乙方自行承担，与甲方无关。如由此造成甲方承担责任的，甲方有权向乙方追偿。安全生产相关协议由甲乙双方另行签订。</w:t>
      </w:r>
    </w:p>
    <w:p w14:paraId="2B0DD434">
      <w:pPr>
        <w:spacing w:line="560" w:lineRule="exact"/>
        <w:ind w:firstLine="640" w:firstLineChars="200"/>
        <w:rPr>
          <w:rFonts w:ascii="黑体" w:hAnsi="黑体" w:eastAsia="黑体"/>
          <w:sz w:val="32"/>
          <w:szCs w:val="32"/>
        </w:rPr>
      </w:pPr>
      <w:r>
        <w:rPr>
          <w:rFonts w:hint="eastAsia" w:ascii="黑体" w:hAnsi="黑体" w:eastAsia="黑体"/>
          <w:sz w:val="32"/>
          <w:szCs w:val="32"/>
        </w:rPr>
        <w:t>五、违约责任</w:t>
      </w:r>
    </w:p>
    <w:p w14:paraId="4C9287E9">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（一）因甲方主观原因造成未能按本协议约定提供砂石</w:t>
      </w:r>
      <w:r>
        <w:rPr>
          <w:rFonts w:ascii="仿宋" w:hAnsi="仿宋" w:eastAsia="仿宋" w:cs="Times New Roman"/>
          <w:sz w:val="32"/>
          <w:szCs w:val="32"/>
        </w:rPr>
        <w:t>料</w:t>
      </w:r>
      <w:r>
        <w:rPr>
          <w:rFonts w:hint="eastAsia" w:ascii="仿宋" w:hAnsi="仿宋" w:eastAsia="仿宋" w:cs="Times New Roman"/>
          <w:sz w:val="32"/>
          <w:szCs w:val="32"/>
        </w:rPr>
        <w:t>的，甲方应承担违约责任。</w:t>
      </w:r>
    </w:p>
    <w:p w14:paraId="2C74D840">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（二）乙方不按本协议约定及时付款，甲方有权解除本协议，并要求乙方赔偿因违约给甲方造成的经济损失，甲方有权将砂石料销售给第三方，乙方无任何异议。</w:t>
      </w:r>
    </w:p>
    <w:p w14:paraId="1998EA97">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（三）乙方所购砂石料离开交货地点后视为提货结束，离场后发生的一切后果均由乙方自行承担，概与甲方无关。</w:t>
      </w:r>
    </w:p>
    <w:p w14:paraId="1A6C6672">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（四）本合同因乙方原因提前终止或解除的，甲乙双方据实结算，乙方已支付的费用多退少补，甲方有权没收履约</w:t>
      </w:r>
      <w:r>
        <w:rPr>
          <w:rFonts w:ascii="仿宋" w:hAnsi="仿宋" w:eastAsia="仿宋" w:cs="Times New Roman"/>
          <w:sz w:val="32"/>
          <w:szCs w:val="32"/>
        </w:rPr>
        <w:t>保证金</w:t>
      </w:r>
      <w:r>
        <w:rPr>
          <w:rFonts w:hint="eastAsia" w:ascii="仿宋" w:hAnsi="仿宋" w:eastAsia="仿宋" w:cs="Times New Roman"/>
          <w:sz w:val="32"/>
          <w:szCs w:val="32"/>
        </w:rPr>
        <w:t>，甲方有权将砂石</w:t>
      </w:r>
      <w:r>
        <w:rPr>
          <w:rFonts w:ascii="仿宋" w:hAnsi="仿宋" w:eastAsia="仿宋" w:cs="Times New Roman"/>
          <w:sz w:val="32"/>
          <w:szCs w:val="32"/>
        </w:rPr>
        <w:t>料</w:t>
      </w:r>
      <w:r>
        <w:rPr>
          <w:rFonts w:hint="eastAsia" w:ascii="仿宋" w:hAnsi="仿宋" w:eastAsia="仿宋" w:cs="Times New Roman"/>
          <w:sz w:val="32"/>
          <w:szCs w:val="32"/>
        </w:rPr>
        <w:t>销售给第三方，乙方无任何异议。</w:t>
      </w:r>
    </w:p>
    <w:p w14:paraId="4BA2D0BF">
      <w:pPr>
        <w:spacing w:line="560" w:lineRule="exact"/>
        <w:ind w:firstLine="640" w:firstLineChars="200"/>
        <w:rPr>
          <w:rFonts w:ascii="黑体" w:hAnsi="黑体" w:eastAsia="黑体"/>
          <w:sz w:val="32"/>
          <w:szCs w:val="32"/>
        </w:rPr>
      </w:pPr>
      <w:r>
        <w:rPr>
          <w:rFonts w:hint="eastAsia" w:ascii="黑体" w:hAnsi="黑体" w:eastAsia="黑体"/>
          <w:sz w:val="32"/>
          <w:szCs w:val="32"/>
        </w:rPr>
        <w:t>六、其他</w:t>
      </w:r>
    </w:p>
    <w:p w14:paraId="402F051B">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（一）本合同附件为本合同组成部分，与本合同效力等同。</w:t>
      </w:r>
    </w:p>
    <w:p w14:paraId="66E3AEDA">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（二）如因不可抗力原因导致本合同无法继续履行，由甲乙双方据实进行“钱货两清”后本合同自行解除。</w:t>
      </w:r>
    </w:p>
    <w:p w14:paraId="47B7DD6D">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本合同经甲乙双方签字盖章后生效。本合同履行中的争议，由双方协商解决。协商不成时，任一方可向甲方所在地有管辖权的人民法院起诉。因诉讼产生的律师费、诉讼费、保全费等一切费用均由责任方承担。</w:t>
      </w:r>
    </w:p>
    <w:p w14:paraId="73B67E94">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（四）本合同一式陆份，甲方持叁份，乙方持贰份，海南产权交易所壹份，效力等同。</w:t>
      </w:r>
    </w:p>
    <w:p w14:paraId="3B22E7C1">
      <w:pPr>
        <w:spacing w:line="560" w:lineRule="exact"/>
        <w:rPr>
          <w:rFonts w:ascii="仿宋" w:hAnsi="仿宋" w:eastAsia="仿宋" w:cs="Times New Roman"/>
          <w:sz w:val="32"/>
          <w:szCs w:val="32"/>
        </w:rPr>
      </w:pPr>
    </w:p>
    <w:p w14:paraId="4521B7D9">
      <w:pPr>
        <w:spacing w:line="560" w:lineRule="exact"/>
        <w:rPr>
          <w:rFonts w:ascii="仿宋" w:hAnsi="仿宋" w:eastAsia="仿宋" w:cs="Times New Roman"/>
          <w:sz w:val="32"/>
          <w:szCs w:val="32"/>
        </w:rPr>
      </w:pPr>
    </w:p>
    <w:p w14:paraId="3996C66A">
      <w:pPr>
        <w:spacing w:line="560" w:lineRule="exact"/>
        <w:rPr>
          <w:rFonts w:ascii="仿宋" w:hAnsi="仿宋" w:eastAsia="仿宋" w:cs="Times New Roman"/>
          <w:sz w:val="32"/>
          <w:szCs w:val="32"/>
        </w:rPr>
      </w:pPr>
      <w:r>
        <w:rPr>
          <w:rFonts w:hint="eastAsia" w:ascii="仿宋" w:hAnsi="仿宋" w:eastAsia="仿宋" w:cs="Times New Roman"/>
          <w:sz w:val="32"/>
          <w:szCs w:val="32"/>
        </w:rPr>
        <w:t>（此页无正文）</w:t>
      </w:r>
    </w:p>
    <w:p w14:paraId="6846AE64">
      <w:pPr>
        <w:spacing w:line="560" w:lineRule="exact"/>
        <w:rPr>
          <w:rFonts w:ascii="仿宋" w:hAnsi="仿宋" w:eastAsia="仿宋" w:cs="Times New Roman"/>
          <w:sz w:val="32"/>
          <w:szCs w:val="32"/>
        </w:rPr>
      </w:pPr>
    </w:p>
    <w:p w14:paraId="7A9D2304">
      <w:pPr>
        <w:spacing w:line="560" w:lineRule="exact"/>
        <w:rPr>
          <w:rFonts w:ascii="仿宋" w:hAnsi="仿宋" w:eastAsia="仿宋" w:cs="Times New Roman"/>
          <w:sz w:val="32"/>
          <w:szCs w:val="32"/>
        </w:rPr>
      </w:pPr>
    </w:p>
    <w:p w14:paraId="795557D8">
      <w:pPr>
        <w:spacing w:line="560" w:lineRule="exact"/>
        <w:rPr>
          <w:rFonts w:ascii="仿宋" w:hAnsi="仿宋" w:eastAsia="仿宋" w:cs="Times New Roman"/>
          <w:sz w:val="32"/>
          <w:szCs w:val="32"/>
        </w:rPr>
      </w:pPr>
    </w:p>
    <w:p w14:paraId="5A18025D">
      <w:pPr>
        <w:spacing w:line="560" w:lineRule="exact"/>
        <w:rPr>
          <w:rFonts w:ascii="仿宋" w:hAnsi="仿宋" w:eastAsia="仿宋" w:cs="Times New Roman"/>
          <w:sz w:val="32"/>
          <w:szCs w:val="32"/>
        </w:rPr>
      </w:pPr>
      <w:r>
        <w:rPr>
          <w:rFonts w:ascii="仿宋" w:hAnsi="仿宋" w:eastAsia="仿宋" w:cs="Times New Roman"/>
          <w:sz w:val="32"/>
          <w:szCs w:val="32"/>
        </w:rPr>
        <w:t>甲方：</w:t>
      </w:r>
    </w:p>
    <w:p w14:paraId="661F7E3A">
      <w:pPr>
        <w:spacing w:line="560" w:lineRule="exact"/>
        <w:rPr>
          <w:rFonts w:ascii="仿宋" w:hAnsi="仿宋" w:eastAsia="仿宋" w:cs="Times New Roman"/>
          <w:sz w:val="32"/>
          <w:szCs w:val="32"/>
        </w:rPr>
      </w:pPr>
      <w:r>
        <w:rPr>
          <w:rFonts w:ascii="仿宋" w:hAnsi="仿宋" w:eastAsia="仿宋" w:cs="Times New Roman"/>
          <w:sz w:val="32"/>
          <w:szCs w:val="32"/>
        </w:rPr>
        <w:t>法定代表人（授权委托人）：</w:t>
      </w:r>
    </w:p>
    <w:p w14:paraId="613A6C1B">
      <w:pPr>
        <w:spacing w:line="560" w:lineRule="exact"/>
        <w:rPr>
          <w:rFonts w:ascii="仿宋" w:hAnsi="仿宋" w:eastAsia="仿宋" w:cs="Times New Roman"/>
          <w:sz w:val="32"/>
          <w:szCs w:val="32"/>
        </w:rPr>
      </w:pPr>
      <w:r>
        <w:rPr>
          <w:rFonts w:hint="eastAsia" w:ascii="仿宋" w:hAnsi="仿宋" w:eastAsia="仿宋" w:cs="Times New Roman"/>
          <w:sz w:val="32"/>
          <w:szCs w:val="32"/>
        </w:rPr>
        <w:t>联系人：</w:t>
      </w:r>
    </w:p>
    <w:p w14:paraId="19523D60">
      <w:pPr>
        <w:spacing w:line="560" w:lineRule="exact"/>
        <w:rPr>
          <w:rFonts w:ascii="仿宋" w:hAnsi="仿宋" w:eastAsia="仿宋" w:cs="Times New Roman"/>
          <w:sz w:val="32"/>
          <w:szCs w:val="32"/>
        </w:rPr>
      </w:pPr>
      <w:r>
        <w:rPr>
          <w:rFonts w:hint="eastAsia" w:ascii="仿宋" w:hAnsi="仿宋" w:eastAsia="仿宋" w:cs="Times New Roman"/>
          <w:sz w:val="32"/>
          <w:szCs w:val="32"/>
        </w:rPr>
        <w:t>联系方式：0898-66713105</w:t>
      </w:r>
    </w:p>
    <w:p w14:paraId="03093F21">
      <w:pPr>
        <w:spacing w:line="560" w:lineRule="exact"/>
        <w:rPr>
          <w:rFonts w:ascii="仿宋" w:hAnsi="仿宋" w:eastAsia="仿宋" w:cs="Times New Roman"/>
          <w:sz w:val="32"/>
          <w:szCs w:val="32"/>
        </w:rPr>
      </w:pPr>
      <w:r>
        <w:rPr>
          <w:rFonts w:hint="eastAsia" w:ascii="仿宋" w:hAnsi="仿宋" w:eastAsia="仿宋" w:cs="Times New Roman"/>
          <w:sz w:val="32"/>
          <w:szCs w:val="32"/>
        </w:rPr>
        <w:t xml:space="preserve">送达地址：海南省海口市龙华区海秀中路84号海口市龙华数字经济产业园4号楼5层环投公司（513经营部) </w:t>
      </w:r>
    </w:p>
    <w:p w14:paraId="14C791C2">
      <w:pPr>
        <w:spacing w:line="560" w:lineRule="exact"/>
        <w:rPr>
          <w:rFonts w:ascii="仿宋" w:hAnsi="仿宋" w:eastAsia="仿宋" w:cs="Times New Roman"/>
          <w:sz w:val="32"/>
          <w:szCs w:val="32"/>
        </w:rPr>
      </w:pPr>
    </w:p>
    <w:p w14:paraId="472F7EDE">
      <w:pPr>
        <w:spacing w:line="560" w:lineRule="exact"/>
        <w:rPr>
          <w:rFonts w:ascii="仿宋" w:hAnsi="仿宋" w:eastAsia="仿宋" w:cs="Times New Roman"/>
          <w:sz w:val="32"/>
          <w:szCs w:val="32"/>
        </w:rPr>
      </w:pPr>
      <w:r>
        <w:rPr>
          <w:rFonts w:ascii="仿宋" w:hAnsi="仿宋" w:eastAsia="仿宋" w:cs="Times New Roman"/>
          <w:sz w:val="32"/>
          <w:szCs w:val="32"/>
        </w:rPr>
        <w:t>乙方：</w:t>
      </w:r>
    </w:p>
    <w:p w14:paraId="0422EEC2">
      <w:pPr>
        <w:spacing w:line="560" w:lineRule="exact"/>
        <w:rPr>
          <w:rFonts w:ascii="仿宋" w:hAnsi="仿宋" w:eastAsia="仿宋" w:cs="Times New Roman"/>
          <w:sz w:val="32"/>
          <w:szCs w:val="32"/>
        </w:rPr>
      </w:pPr>
      <w:r>
        <w:rPr>
          <w:rFonts w:ascii="仿宋" w:hAnsi="仿宋" w:eastAsia="仿宋" w:cs="Times New Roman"/>
          <w:sz w:val="32"/>
          <w:szCs w:val="32"/>
        </w:rPr>
        <w:t>法定代表人（授权委托人）：</w:t>
      </w:r>
    </w:p>
    <w:p w14:paraId="4B2E2F5D">
      <w:pPr>
        <w:spacing w:line="560" w:lineRule="exact"/>
        <w:rPr>
          <w:rFonts w:ascii="仿宋" w:hAnsi="仿宋" w:eastAsia="仿宋" w:cs="Times New Roman"/>
          <w:sz w:val="32"/>
          <w:szCs w:val="32"/>
        </w:rPr>
      </w:pPr>
      <w:r>
        <w:rPr>
          <w:rFonts w:hint="eastAsia" w:ascii="仿宋" w:hAnsi="仿宋" w:eastAsia="仿宋" w:cs="Times New Roman"/>
          <w:sz w:val="32"/>
          <w:szCs w:val="32"/>
        </w:rPr>
        <w:t>联系人：</w:t>
      </w:r>
    </w:p>
    <w:p w14:paraId="45DBE70A">
      <w:pPr>
        <w:spacing w:line="560" w:lineRule="exact"/>
        <w:rPr>
          <w:rFonts w:ascii="仿宋" w:hAnsi="仿宋" w:eastAsia="仿宋" w:cs="Times New Roman"/>
          <w:sz w:val="32"/>
          <w:szCs w:val="32"/>
        </w:rPr>
      </w:pPr>
      <w:r>
        <w:rPr>
          <w:rFonts w:hint="eastAsia" w:ascii="仿宋" w:hAnsi="仿宋" w:eastAsia="仿宋" w:cs="Times New Roman"/>
          <w:sz w:val="32"/>
          <w:szCs w:val="32"/>
        </w:rPr>
        <w:t>联系方式：</w:t>
      </w:r>
    </w:p>
    <w:p w14:paraId="203B45D3">
      <w:pPr>
        <w:spacing w:line="560" w:lineRule="exact"/>
        <w:rPr>
          <w:rFonts w:ascii="仿宋" w:hAnsi="仿宋" w:eastAsia="仿宋" w:cs="Times New Roman"/>
          <w:sz w:val="32"/>
          <w:szCs w:val="32"/>
        </w:rPr>
      </w:pPr>
      <w:r>
        <w:rPr>
          <w:rFonts w:hint="eastAsia" w:ascii="仿宋" w:hAnsi="仿宋" w:eastAsia="仿宋" w:cs="Times New Roman"/>
          <w:sz w:val="32"/>
          <w:szCs w:val="32"/>
        </w:rPr>
        <w:t>送达地址：</w:t>
      </w:r>
    </w:p>
    <w:p w14:paraId="1CF2654E">
      <w:pPr>
        <w:spacing w:line="560" w:lineRule="exact"/>
      </w:pPr>
      <w:r>
        <w:rPr>
          <w:rFonts w:ascii="仿宋" w:hAnsi="仿宋" w:eastAsia="仿宋" w:cs="Times New Roman"/>
          <w:sz w:val="32"/>
          <w:szCs w:val="32"/>
        </w:rPr>
        <w:t xml:space="preserve"> </w:t>
      </w:r>
      <w:r>
        <w:rPr>
          <w:rFonts w:hint="eastAsia" w:ascii="仿宋" w:hAnsi="仿宋" w:eastAsia="仿宋" w:cs="Times New Roman"/>
          <w:sz w:val="32"/>
          <w:szCs w:val="32"/>
        </w:rPr>
        <w:t xml:space="preserve">                             </w:t>
      </w:r>
      <w:r>
        <w:rPr>
          <w:rFonts w:ascii="仿宋" w:hAnsi="仿宋" w:eastAsia="仿宋" w:cs="Times New Roman"/>
          <w:sz w:val="32"/>
          <w:szCs w:val="32"/>
        </w:rPr>
        <w:t>签订日期：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57D9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1338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111338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OGY5ZDllZWU1ZDZhMmMwZjgyYTlkNDZjN2I1NjMifQ=="/>
  </w:docVars>
  <w:rsids>
    <w:rsidRoot w:val="00D9197D"/>
    <w:rsid w:val="00107845"/>
    <w:rsid w:val="00162436"/>
    <w:rsid w:val="001B6131"/>
    <w:rsid w:val="00610D80"/>
    <w:rsid w:val="006E5C1D"/>
    <w:rsid w:val="006F005C"/>
    <w:rsid w:val="00744463"/>
    <w:rsid w:val="00766A61"/>
    <w:rsid w:val="007C1574"/>
    <w:rsid w:val="00AF2554"/>
    <w:rsid w:val="00B464BE"/>
    <w:rsid w:val="00C66054"/>
    <w:rsid w:val="00C67DD0"/>
    <w:rsid w:val="00D130B1"/>
    <w:rsid w:val="00D75173"/>
    <w:rsid w:val="00D9197D"/>
    <w:rsid w:val="00DC180B"/>
    <w:rsid w:val="00DD7A1F"/>
    <w:rsid w:val="00E032A8"/>
    <w:rsid w:val="00EA0033"/>
    <w:rsid w:val="019A6496"/>
    <w:rsid w:val="021C65DB"/>
    <w:rsid w:val="02335E20"/>
    <w:rsid w:val="028B5B8F"/>
    <w:rsid w:val="02D913CD"/>
    <w:rsid w:val="03087600"/>
    <w:rsid w:val="03BF34FB"/>
    <w:rsid w:val="04087943"/>
    <w:rsid w:val="04833914"/>
    <w:rsid w:val="06672D9E"/>
    <w:rsid w:val="0A0236D6"/>
    <w:rsid w:val="0F4535CE"/>
    <w:rsid w:val="142B6186"/>
    <w:rsid w:val="169D350D"/>
    <w:rsid w:val="16D22831"/>
    <w:rsid w:val="18797BA6"/>
    <w:rsid w:val="1A3B6BEF"/>
    <w:rsid w:val="1A9130C1"/>
    <w:rsid w:val="1BAD29F5"/>
    <w:rsid w:val="1CCB76F9"/>
    <w:rsid w:val="1DC74532"/>
    <w:rsid w:val="21397802"/>
    <w:rsid w:val="237D6A31"/>
    <w:rsid w:val="23AB4992"/>
    <w:rsid w:val="23DD2BE2"/>
    <w:rsid w:val="25900D50"/>
    <w:rsid w:val="260C1BFF"/>
    <w:rsid w:val="26561C3E"/>
    <w:rsid w:val="278739E8"/>
    <w:rsid w:val="29E444FF"/>
    <w:rsid w:val="2A2655B6"/>
    <w:rsid w:val="2AA51E34"/>
    <w:rsid w:val="2B084421"/>
    <w:rsid w:val="2B4F1381"/>
    <w:rsid w:val="307308B6"/>
    <w:rsid w:val="30ED4FD4"/>
    <w:rsid w:val="31522F4F"/>
    <w:rsid w:val="319D35B5"/>
    <w:rsid w:val="35B00AA5"/>
    <w:rsid w:val="362C73AC"/>
    <w:rsid w:val="36E9494E"/>
    <w:rsid w:val="37370932"/>
    <w:rsid w:val="3A800389"/>
    <w:rsid w:val="3EA104A8"/>
    <w:rsid w:val="3F373C7F"/>
    <w:rsid w:val="403010D9"/>
    <w:rsid w:val="407C6265"/>
    <w:rsid w:val="40F56D81"/>
    <w:rsid w:val="431F5EE2"/>
    <w:rsid w:val="436E2D2F"/>
    <w:rsid w:val="43905C04"/>
    <w:rsid w:val="44132B17"/>
    <w:rsid w:val="45B0535B"/>
    <w:rsid w:val="47A54583"/>
    <w:rsid w:val="47E73ED6"/>
    <w:rsid w:val="4F985266"/>
    <w:rsid w:val="513E019E"/>
    <w:rsid w:val="524E45F4"/>
    <w:rsid w:val="52C52026"/>
    <w:rsid w:val="52D26333"/>
    <w:rsid w:val="53640566"/>
    <w:rsid w:val="53CF722F"/>
    <w:rsid w:val="542347FD"/>
    <w:rsid w:val="54F15468"/>
    <w:rsid w:val="55191A1B"/>
    <w:rsid w:val="56B86AA0"/>
    <w:rsid w:val="58405511"/>
    <w:rsid w:val="5A694F5C"/>
    <w:rsid w:val="5E283648"/>
    <w:rsid w:val="5FB3238B"/>
    <w:rsid w:val="5FE83225"/>
    <w:rsid w:val="606C13E2"/>
    <w:rsid w:val="613020BD"/>
    <w:rsid w:val="619C4086"/>
    <w:rsid w:val="622612B1"/>
    <w:rsid w:val="64250882"/>
    <w:rsid w:val="667E7506"/>
    <w:rsid w:val="66D8753C"/>
    <w:rsid w:val="68417124"/>
    <w:rsid w:val="69692C85"/>
    <w:rsid w:val="69717523"/>
    <w:rsid w:val="6C6E17B5"/>
    <w:rsid w:val="70643181"/>
    <w:rsid w:val="71A3721C"/>
    <w:rsid w:val="72CB5E34"/>
    <w:rsid w:val="72E6156E"/>
    <w:rsid w:val="77E86AC9"/>
    <w:rsid w:val="792504D4"/>
    <w:rsid w:val="793766DD"/>
    <w:rsid w:val="794F7B7D"/>
    <w:rsid w:val="7AA0673E"/>
    <w:rsid w:val="7D3B2D4D"/>
    <w:rsid w:val="7DB939D1"/>
    <w:rsid w:val="7E9D4AF9"/>
    <w:rsid w:val="7ECE78AF"/>
    <w:rsid w:val="7F461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2320</Words>
  <Characters>2379</Characters>
  <Lines>18</Lines>
  <Paragraphs>5</Paragraphs>
  <TotalTime>30</TotalTime>
  <ScaleCrop>false</ScaleCrop>
  <LinksUpToDate>false</LinksUpToDate>
  <CharactersWithSpaces>2504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2023-01-03T09:08:00Z</dcterms:created>
  <dc:creator>李壮</dc:creator>
  <cp:lastModifiedBy>林文忠</cp:lastModifiedBy>
  <cp:lastPrinted>2024-12-24T08:21:00Z</cp:lastPrinted>
  <dcterms:modified xsi:type="dcterms:W3CDTF">2026-06-30T06:57:47Z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4A1CCE711E854306A96274B7073DB774</vt:lpwstr>
  </property>
  <property fmtid="{D5CDD505-2E9C-101B-9397-08002B2CF9AE}" pid="4" name="KSOTemplateDocerSaveRecord">
    <vt:lpwstr>eyJoZGlkIjoiMTRjOTM4NThlMjZlMWJjNjRjMTRiNDAwZDQ4ZDNhOTgiLCJ1c2VySWQiOiIxNzk2NzM4NjkwIn0=</vt:lpwstr>
  </property>
</Properties>
</file>